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7C" w:rsidRDefault="003E7C2A" w:rsidP="00B45F7C">
      <w:pPr>
        <w:pStyle w:val="NoSpacing"/>
        <w:jc w:val="both"/>
        <w:rPr>
          <w:rFonts w:eastAsia="Times New Roman" w:cs="Arial"/>
          <w:b/>
          <w:bCs/>
          <w:szCs w:val="24"/>
        </w:rPr>
      </w:pPr>
    </w:p>
    <w:p w:rsidR="00B45F7C" w:rsidRDefault="00A44354" w:rsidP="00B45F7C">
      <w:pPr>
        <w:pStyle w:val="NoSpacing"/>
        <w:jc w:val="both"/>
        <w:rPr>
          <w:rFonts w:eastAsia="Times New Roman" w:cs="Arial"/>
          <w:b/>
          <w:bCs/>
          <w:szCs w:val="24"/>
        </w:rPr>
      </w:pPr>
      <w:r>
        <w:rPr>
          <w:rFonts w:eastAsia="Times New Roman" w:cs="Arial"/>
          <w:b/>
          <w:bCs/>
          <w:szCs w:val="24"/>
        </w:rPr>
        <w:t>CITY DEAL EXECUTIVE AND STEWARDSHIP BOARD</w:t>
      </w:r>
    </w:p>
    <w:p w:rsidR="00B45F7C" w:rsidRPr="00D3134F" w:rsidRDefault="003E7C2A" w:rsidP="00B45F7C">
      <w:pPr>
        <w:spacing w:after="0" w:line="240" w:lineRule="auto"/>
        <w:rPr>
          <w:rFonts w:ascii="Arial" w:hAnsi="Arial" w:cs="Arial"/>
          <w:b/>
          <w:bCs/>
          <w:sz w:val="24"/>
          <w:szCs w:val="24"/>
        </w:rPr>
      </w:pPr>
    </w:p>
    <w:p w:rsidR="00B45F7C" w:rsidRPr="00D3134F" w:rsidRDefault="00A44354" w:rsidP="00B45F7C">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Pr>
          <w:rFonts w:ascii="Arial" w:hAnsi="Arial" w:cs="Arial"/>
          <w:b/>
          <w:sz w:val="24"/>
          <w:szCs w:val="24"/>
        </w:rPr>
        <w:t>No</w:t>
      </w:r>
    </w:p>
    <w:p w:rsidR="00B45F7C" w:rsidRPr="00D3134F" w:rsidRDefault="003E7C2A" w:rsidP="00B45F7C">
      <w:pPr>
        <w:spacing w:after="0" w:line="240" w:lineRule="auto"/>
        <w:rPr>
          <w:rFonts w:ascii="Arial" w:hAnsi="Arial" w:cs="Arial"/>
          <w:sz w:val="24"/>
          <w:szCs w:val="24"/>
        </w:rPr>
      </w:pPr>
    </w:p>
    <w:p w:rsidR="00881D79" w:rsidRDefault="00881D79" w:rsidP="00881D79">
      <w:pPr>
        <w:rPr>
          <w:rFonts w:ascii="Arial" w:hAnsi="Arial" w:cs="Arial"/>
          <w:sz w:val="24"/>
          <w:szCs w:val="24"/>
        </w:rPr>
      </w:pPr>
      <w:r>
        <w:rPr>
          <w:rFonts w:ascii="Arial" w:hAnsi="Arial" w:cs="Arial"/>
          <w:b/>
          <w:sz w:val="24"/>
          <w:szCs w:val="24"/>
        </w:rPr>
        <w:t>ITEM FOR INFORMATION / NOTING IN ADVANCE OF THE CITY DEAL MEETING SCHEDULED FOR 16</w:t>
      </w:r>
      <w:r>
        <w:rPr>
          <w:rFonts w:ascii="Arial" w:hAnsi="Arial" w:cs="Arial"/>
          <w:b/>
          <w:sz w:val="24"/>
          <w:szCs w:val="24"/>
          <w:vertAlign w:val="superscript"/>
        </w:rPr>
        <w:t>TH</w:t>
      </w:r>
      <w:r>
        <w:rPr>
          <w:rFonts w:ascii="Arial" w:hAnsi="Arial" w:cs="Arial"/>
          <w:b/>
          <w:sz w:val="24"/>
          <w:szCs w:val="24"/>
        </w:rPr>
        <w:t xml:space="preserve"> AUGUST 2018</w:t>
      </w:r>
    </w:p>
    <w:p w:rsidR="00B45F7C" w:rsidRPr="00D3134F" w:rsidRDefault="00A44354" w:rsidP="00B45F7C">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Pr>
          <w:rFonts w:ascii="Arial" w:eastAsia="Times New Roman" w:hAnsi="Arial" w:cs="Arial"/>
          <w:b/>
          <w:sz w:val="24"/>
          <w:szCs w:val="24"/>
        </w:rPr>
        <w:t>2017/18 End of Year Monitoring Report</w:t>
      </w:r>
      <w:r>
        <w:rPr>
          <w:rFonts w:ascii="Arial" w:eastAsia="Times New Roman" w:hAnsi="Arial" w:cs="Arial"/>
          <w:b/>
          <w:sz w:val="24"/>
          <w:szCs w:val="24"/>
        </w:rPr>
        <w:fldChar w:fldCharType="end"/>
      </w:r>
    </w:p>
    <w:p w:rsidR="00B45F7C" w:rsidRPr="00D3134F" w:rsidRDefault="004F4921" w:rsidP="00B45F7C">
      <w:pPr>
        <w:spacing w:after="0" w:line="240" w:lineRule="auto"/>
        <w:rPr>
          <w:rFonts w:ascii="Arial" w:hAnsi="Arial" w:cs="Arial"/>
          <w:sz w:val="24"/>
          <w:szCs w:val="24"/>
        </w:rPr>
      </w:pPr>
      <w:r>
        <w:rPr>
          <w:rFonts w:ascii="Arial" w:hAnsi="Arial" w:cs="Arial"/>
          <w:sz w:val="24"/>
          <w:szCs w:val="24"/>
        </w:rPr>
        <w:t>(Appendices '1', '2', '3' and '4</w:t>
      </w:r>
      <w:r w:rsidR="00881D79">
        <w:rPr>
          <w:rFonts w:ascii="Arial" w:hAnsi="Arial" w:cs="Arial"/>
          <w:sz w:val="24"/>
          <w:szCs w:val="24"/>
        </w:rPr>
        <w:t>' refer)</w:t>
      </w:r>
    </w:p>
    <w:p w:rsidR="00B45F7C" w:rsidRPr="00D3134F" w:rsidRDefault="003E7C2A" w:rsidP="00B45F7C">
      <w:pPr>
        <w:spacing w:after="0" w:line="240" w:lineRule="auto"/>
        <w:rPr>
          <w:rFonts w:ascii="Arial" w:hAnsi="Arial" w:cs="Arial"/>
          <w:sz w:val="24"/>
          <w:szCs w:val="24"/>
        </w:rPr>
      </w:pPr>
    </w:p>
    <w:p w:rsidR="00B45F7C" w:rsidRPr="00D3134F" w:rsidRDefault="00A44354" w:rsidP="00B45F7C">
      <w:pPr>
        <w:spacing w:after="0" w:line="240" w:lineRule="auto"/>
        <w:ind w:right="-873"/>
        <w:rPr>
          <w:rFonts w:ascii="Arial" w:eastAsia="Times New Roman" w:hAnsi="Arial" w:cs="Arial"/>
          <w:b/>
          <w:sz w:val="24"/>
          <w:szCs w:val="24"/>
        </w:rPr>
      </w:pPr>
      <w:r w:rsidRPr="00D3134F">
        <w:rPr>
          <w:rFonts w:ascii="Arial" w:hAnsi="Arial" w:cs="Arial"/>
          <w:b/>
          <w:sz w:val="24"/>
          <w:szCs w:val="24"/>
        </w:rPr>
        <w:t>Report Author:</w:t>
      </w:r>
      <w:r>
        <w:rPr>
          <w:rFonts w:ascii="Arial" w:hAnsi="Arial" w:cs="Arial"/>
          <w:b/>
          <w:sz w:val="24"/>
          <w:szCs w:val="24"/>
        </w:rPr>
        <w:t xml:space="preserve"> </w:t>
      </w:r>
      <w:r>
        <w:rPr>
          <w:rFonts w:ascii="Arial" w:hAnsi="Arial" w:cs="Arial"/>
          <w:b/>
          <w:sz w:val="24"/>
          <w:szCs w:val="24"/>
        </w:rPr>
        <w:fldChar w:fldCharType="begin"/>
      </w:r>
      <w:r>
        <w:rPr>
          <w:rFonts w:ascii="Arial" w:hAnsi="Arial" w:cs="Arial"/>
          <w:b/>
          <w:sz w:val="24"/>
          <w:szCs w:val="24"/>
        </w:rPr>
        <w:instrText xml:space="preserve"> DOCPROPERTY  LeadOfficer  \* MERGEFORMAT </w:instrText>
      </w:r>
      <w:r>
        <w:rPr>
          <w:rFonts w:ascii="Arial" w:hAnsi="Arial" w:cs="Arial"/>
          <w:b/>
          <w:sz w:val="24"/>
          <w:szCs w:val="24"/>
        </w:rPr>
        <w:fldChar w:fldCharType="separate"/>
      </w:r>
      <w:r>
        <w:rPr>
          <w:rFonts w:ascii="Arial" w:hAnsi="Arial" w:cs="Arial"/>
          <w:b/>
          <w:sz w:val="24"/>
          <w:szCs w:val="24"/>
        </w:rPr>
        <w:t>Sarah Parry</w:t>
      </w:r>
      <w:r>
        <w:rPr>
          <w:rFonts w:ascii="Arial" w:hAnsi="Arial" w:cs="Arial"/>
          <w:b/>
          <w:sz w:val="24"/>
          <w:szCs w:val="24"/>
        </w:rPr>
        <w:fldChar w:fldCharType="end"/>
      </w:r>
      <w:r w:rsidRPr="00D3134F">
        <w:rPr>
          <w:rFonts w:ascii="Arial" w:hAnsi="Arial" w:cs="Arial"/>
          <w:b/>
          <w:sz w:val="24"/>
          <w:szCs w:val="24"/>
        </w:rPr>
        <w:t xml:space="preserve">, </w:t>
      </w:r>
      <w:r>
        <w:rPr>
          <w:rFonts w:ascii="Arial" w:hAnsi="Arial" w:cs="Arial"/>
          <w:b/>
          <w:sz w:val="24"/>
          <w:szCs w:val="24"/>
        </w:rPr>
        <w:t xml:space="preserve">City Deal Programme Manager, </w:t>
      </w:r>
      <w:r>
        <w:rPr>
          <w:rFonts w:ascii="Arial" w:hAnsi="Arial" w:cs="Arial"/>
          <w:b/>
          <w:sz w:val="24"/>
          <w:szCs w:val="24"/>
        </w:rPr>
        <w:fldChar w:fldCharType="begin"/>
      </w:r>
      <w:r>
        <w:rPr>
          <w:rFonts w:ascii="Arial" w:hAnsi="Arial" w:cs="Arial"/>
          <w:b/>
          <w:sz w:val="24"/>
          <w:szCs w:val="24"/>
        </w:rPr>
        <w:instrText xml:space="preserve"> DOCPROPERTY  LeadOfficerTel  \* MERGEFORMAT </w:instrText>
      </w:r>
      <w:r>
        <w:rPr>
          <w:rFonts w:ascii="Arial" w:hAnsi="Arial" w:cs="Arial"/>
          <w:b/>
          <w:sz w:val="24"/>
          <w:szCs w:val="24"/>
        </w:rPr>
        <w:fldChar w:fldCharType="separate"/>
      </w:r>
      <w:r>
        <w:rPr>
          <w:rFonts w:ascii="Arial" w:hAnsi="Arial" w:cs="Arial"/>
          <w:b/>
          <w:sz w:val="24"/>
          <w:szCs w:val="24"/>
        </w:rPr>
        <w:t>Tel: 01772 530615</w:t>
      </w:r>
      <w:r>
        <w:rPr>
          <w:rFonts w:ascii="Arial" w:hAnsi="Arial" w:cs="Arial"/>
          <w:b/>
          <w:sz w:val="24"/>
          <w:szCs w:val="24"/>
        </w:rPr>
        <w:fldChar w:fldCharType="end"/>
      </w:r>
      <w:r w:rsidRPr="00D3134F">
        <w:rPr>
          <w:rFonts w:ascii="Arial" w:hAnsi="Arial" w:cs="Arial"/>
          <w:b/>
          <w:sz w:val="24"/>
          <w:szCs w:val="24"/>
        </w:rPr>
        <w:t xml:space="preserve">, </w:t>
      </w:r>
    </w:p>
    <w:p w:rsidR="00B45F7C" w:rsidRPr="00D3134F" w:rsidRDefault="00A44354" w:rsidP="00B45F7C">
      <w:pPr>
        <w:spacing w:after="0" w:line="240" w:lineRule="auto"/>
        <w:ind w:right="-873"/>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DOCPROPERTY  LeadOfficerEmail  \* MERGEFORMAT </w:instrText>
      </w:r>
      <w:r>
        <w:rPr>
          <w:rFonts w:ascii="Arial" w:hAnsi="Arial" w:cs="Arial"/>
          <w:b/>
          <w:sz w:val="24"/>
          <w:szCs w:val="24"/>
        </w:rPr>
        <w:fldChar w:fldCharType="separate"/>
      </w:r>
      <w:r>
        <w:rPr>
          <w:rFonts w:ascii="Arial" w:hAnsi="Arial" w:cs="Arial"/>
          <w:b/>
          <w:sz w:val="24"/>
          <w:szCs w:val="24"/>
        </w:rPr>
        <w:t>sarah.parry@lancashire.gov.uk</w:t>
      </w:r>
      <w:r>
        <w:rPr>
          <w:rFonts w:ascii="Arial" w:hAnsi="Arial" w:cs="Arial"/>
          <w:b/>
          <w:sz w:val="24"/>
          <w:szCs w:val="24"/>
        </w:rPr>
        <w:fldChar w:fldCharType="end"/>
      </w:r>
    </w:p>
    <w:p w:rsidR="00B45F7C" w:rsidRPr="00D3134F" w:rsidRDefault="003E7C2A" w:rsidP="00B45F7C">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E2CA8" w:rsidTr="00B45F7C">
        <w:tc>
          <w:tcPr>
            <w:tcW w:w="9180" w:type="dxa"/>
          </w:tcPr>
          <w:p w:rsidR="00B45F7C" w:rsidRPr="000F5301" w:rsidRDefault="003E7C2A" w:rsidP="00B45F7C">
            <w:pPr>
              <w:pStyle w:val="Header"/>
              <w:rPr>
                <w:rFonts w:ascii="Arial" w:hAnsi="Arial" w:cs="Arial"/>
              </w:rPr>
            </w:pPr>
          </w:p>
          <w:p w:rsidR="00B45F7C" w:rsidRPr="00881D79" w:rsidRDefault="00A44354" w:rsidP="00881D79">
            <w:pPr>
              <w:pStyle w:val="Heading6"/>
              <w:spacing w:before="0" w:line="240" w:lineRule="auto"/>
              <w:jc w:val="both"/>
              <w:rPr>
                <w:rFonts w:ascii="Arial" w:hAnsi="Arial" w:cs="Arial"/>
                <w:b/>
                <w:color w:val="auto"/>
              </w:rPr>
            </w:pPr>
            <w:r w:rsidRPr="00881D79">
              <w:rPr>
                <w:rFonts w:ascii="Arial" w:hAnsi="Arial" w:cs="Arial"/>
                <w:b/>
                <w:color w:val="auto"/>
              </w:rPr>
              <w:t>Executive Summary</w:t>
            </w:r>
          </w:p>
          <w:p w:rsidR="00B45F7C" w:rsidRPr="00881D79" w:rsidRDefault="003E7C2A" w:rsidP="00881D79">
            <w:pPr>
              <w:spacing w:after="0" w:line="240" w:lineRule="auto"/>
              <w:jc w:val="both"/>
              <w:rPr>
                <w:rFonts w:ascii="Arial" w:hAnsi="Arial" w:cs="Arial"/>
                <w:sz w:val="24"/>
                <w:szCs w:val="24"/>
              </w:rPr>
            </w:pPr>
          </w:p>
          <w:p w:rsidR="008926D0" w:rsidRPr="00881D79" w:rsidRDefault="00A44354" w:rsidP="00881D79">
            <w:pPr>
              <w:tabs>
                <w:tab w:val="left" w:pos="29"/>
              </w:tabs>
              <w:spacing w:after="0" w:line="240" w:lineRule="auto"/>
              <w:ind w:left="29"/>
              <w:jc w:val="both"/>
              <w:rPr>
                <w:rFonts w:ascii="Arial" w:hAnsi="Arial" w:cs="Arial"/>
                <w:sz w:val="24"/>
                <w:szCs w:val="24"/>
              </w:rPr>
            </w:pPr>
            <w:r w:rsidRPr="00881D79">
              <w:rPr>
                <w:rFonts w:ascii="Arial" w:hAnsi="Arial" w:cs="Arial"/>
                <w:sz w:val="24"/>
                <w:szCs w:val="24"/>
              </w:rPr>
              <w:t>This report provides the City Deal E</w:t>
            </w:r>
            <w:r w:rsidR="00881D79">
              <w:rPr>
                <w:rFonts w:ascii="Arial" w:hAnsi="Arial" w:cs="Arial"/>
                <w:sz w:val="24"/>
                <w:szCs w:val="24"/>
              </w:rPr>
              <w:t xml:space="preserve">xecutive and Stewardship Board </w:t>
            </w:r>
            <w:r w:rsidRPr="00881D79">
              <w:rPr>
                <w:rFonts w:ascii="Arial" w:hAnsi="Arial" w:cs="Arial"/>
                <w:sz w:val="24"/>
                <w:szCs w:val="24"/>
              </w:rPr>
              <w:t xml:space="preserve">with an overview of how the Programme has performed during 2017-18 (Year 4).  The report brings together both quantitative and qualitative information relating to the Core/Supporting Outputs and key projects/development sites in the Business and Delivery Plan.  This information is summarised in the </w:t>
            </w:r>
            <w:r w:rsidR="00881D79">
              <w:rPr>
                <w:rFonts w:ascii="Arial" w:hAnsi="Arial" w:cs="Arial"/>
                <w:sz w:val="24"/>
                <w:szCs w:val="24"/>
              </w:rPr>
              <w:t>d</w:t>
            </w:r>
            <w:r w:rsidR="004F4921">
              <w:rPr>
                <w:rFonts w:ascii="Arial" w:hAnsi="Arial" w:cs="Arial"/>
                <w:sz w:val="24"/>
                <w:szCs w:val="24"/>
              </w:rPr>
              <w:t>ashboard attached at Appendix '1</w:t>
            </w:r>
            <w:r w:rsidR="00881D79">
              <w:rPr>
                <w:rFonts w:ascii="Arial" w:hAnsi="Arial" w:cs="Arial"/>
                <w:sz w:val="24"/>
                <w:szCs w:val="24"/>
              </w:rPr>
              <w:t>'</w:t>
            </w:r>
            <w:r w:rsidRPr="00881D79">
              <w:rPr>
                <w:rFonts w:ascii="Arial" w:hAnsi="Arial" w:cs="Arial"/>
                <w:sz w:val="24"/>
                <w:szCs w:val="24"/>
              </w:rPr>
              <w:t xml:space="preserve">, which will be used as part of the annual return to Government. </w:t>
            </w:r>
          </w:p>
          <w:p w:rsidR="008926D0" w:rsidRPr="00881D79" w:rsidRDefault="003E7C2A" w:rsidP="00881D79">
            <w:pPr>
              <w:tabs>
                <w:tab w:val="left" w:pos="29"/>
              </w:tabs>
              <w:spacing w:after="0" w:line="240" w:lineRule="auto"/>
              <w:ind w:left="29"/>
              <w:jc w:val="both"/>
              <w:rPr>
                <w:rFonts w:ascii="Arial" w:hAnsi="Arial" w:cs="Arial"/>
                <w:sz w:val="24"/>
                <w:szCs w:val="24"/>
              </w:rPr>
            </w:pPr>
          </w:p>
          <w:p w:rsidR="008926D0" w:rsidRPr="00881D79" w:rsidRDefault="00A44354" w:rsidP="00881D79">
            <w:pPr>
              <w:tabs>
                <w:tab w:val="left" w:pos="29"/>
              </w:tabs>
              <w:spacing w:after="0" w:line="240" w:lineRule="auto"/>
              <w:ind w:left="29"/>
              <w:jc w:val="both"/>
              <w:rPr>
                <w:rFonts w:ascii="Arial" w:hAnsi="Arial" w:cs="Arial"/>
                <w:sz w:val="24"/>
                <w:szCs w:val="24"/>
              </w:rPr>
            </w:pPr>
            <w:r w:rsidRPr="00881D79">
              <w:rPr>
                <w:rFonts w:ascii="Arial" w:hAnsi="Arial" w:cs="Arial"/>
                <w:sz w:val="24"/>
                <w:szCs w:val="24"/>
              </w:rPr>
              <w:t>Performance can be summarised as follows:</w:t>
            </w:r>
          </w:p>
          <w:p w:rsidR="008926D0" w:rsidRPr="00881D79" w:rsidRDefault="003E7C2A" w:rsidP="00881D79">
            <w:pPr>
              <w:tabs>
                <w:tab w:val="left" w:pos="29"/>
              </w:tabs>
              <w:spacing w:after="0" w:line="240" w:lineRule="auto"/>
              <w:ind w:left="29"/>
              <w:jc w:val="both"/>
              <w:rPr>
                <w:rFonts w:ascii="Arial" w:hAnsi="Arial" w:cs="Arial"/>
                <w:sz w:val="24"/>
                <w:szCs w:val="24"/>
              </w:rPr>
            </w:pPr>
          </w:p>
          <w:p w:rsidR="008926D0" w:rsidRPr="00881D79" w:rsidRDefault="00A44354" w:rsidP="00881D79">
            <w:pPr>
              <w:tabs>
                <w:tab w:val="left" w:pos="29"/>
              </w:tabs>
              <w:spacing w:after="0" w:line="240" w:lineRule="auto"/>
              <w:ind w:left="29"/>
              <w:jc w:val="both"/>
              <w:rPr>
                <w:rFonts w:ascii="Arial" w:hAnsi="Arial" w:cs="Arial"/>
                <w:sz w:val="24"/>
                <w:szCs w:val="24"/>
              </w:rPr>
            </w:pPr>
            <w:r w:rsidRPr="00881D79">
              <w:rPr>
                <w:rFonts w:ascii="Arial" w:hAnsi="Arial" w:cs="Arial"/>
                <w:b/>
                <w:sz w:val="24"/>
                <w:szCs w:val="24"/>
              </w:rPr>
              <w:t>Housing outputs</w:t>
            </w:r>
            <w:r w:rsidRPr="00881D79">
              <w:rPr>
                <w:rFonts w:ascii="Arial" w:hAnsi="Arial" w:cs="Arial"/>
                <w:sz w:val="24"/>
                <w:szCs w:val="24"/>
              </w:rPr>
              <w:t xml:space="preserve"> – Total completions to date are 3702 units.  This is ahead of revised targets set by Keppie Massie in 2016.  Planning submissions and consents are broadly on track, in part, supported by unallocated sites coming forward. </w:t>
            </w:r>
          </w:p>
          <w:p w:rsidR="008926D0" w:rsidRPr="00881D79" w:rsidRDefault="00A44354" w:rsidP="00881D79">
            <w:pPr>
              <w:tabs>
                <w:tab w:val="left" w:pos="29"/>
              </w:tabs>
              <w:spacing w:after="0" w:line="240" w:lineRule="auto"/>
              <w:ind w:left="29"/>
              <w:jc w:val="both"/>
              <w:rPr>
                <w:rFonts w:ascii="Arial" w:hAnsi="Arial" w:cs="Arial"/>
                <w:color w:val="FF0000"/>
                <w:sz w:val="24"/>
                <w:szCs w:val="24"/>
              </w:rPr>
            </w:pPr>
            <w:r w:rsidRPr="00881D79">
              <w:rPr>
                <w:rFonts w:ascii="Arial" w:hAnsi="Arial" w:cs="Arial"/>
                <w:b/>
                <w:sz w:val="24"/>
                <w:szCs w:val="24"/>
              </w:rPr>
              <w:t>Commercial sites</w:t>
            </w:r>
            <w:r w:rsidRPr="00881D79">
              <w:rPr>
                <w:rFonts w:ascii="Arial" w:hAnsi="Arial" w:cs="Arial"/>
                <w:sz w:val="24"/>
                <w:szCs w:val="24"/>
              </w:rPr>
              <w:t xml:space="preserve"> – There has been a strong performance in commercial site completions to date and the momentum is continuing with this years' targets being exceeded. Demand for land remains high at key employment sites, which will help meet future targets that are forecast to increase significa</w:t>
            </w:r>
            <w:r w:rsidR="00881D79">
              <w:rPr>
                <w:rFonts w:ascii="Arial" w:hAnsi="Arial" w:cs="Arial"/>
                <w:sz w:val="24"/>
                <w:szCs w:val="24"/>
              </w:rPr>
              <w:t>ntly in fo</w:t>
            </w:r>
            <w:r w:rsidR="004F4921">
              <w:rPr>
                <w:rFonts w:ascii="Arial" w:hAnsi="Arial" w:cs="Arial"/>
                <w:sz w:val="24"/>
                <w:szCs w:val="24"/>
              </w:rPr>
              <w:t>rthcoming years. See Appendix '2</w:t>
            </w:r>
            <w:r w:rsidR="00881D79">
              <w:rPr>
                <w:rFonts w:ascii="Arial" w:hAnsi="Arial" w:cs="Arial"/>
                <w:sz w:val="24"/>
                <w:szCs w:val="24"/>
              </w:rPr>
              <w:t>'</w:t>
            </w:r>
            <w:r w:rsidRPr="00881D79">
              <w:rPr>
                <w:rFonts w:ascii="Arial" w:hAnsi="Arial" w:cs="Arial"/>
                <w:sz w:val="24"/>
                <w:szCs w:val="24"/>
              </w:rPr>
              <w:t xml:space="preserve"> –</w:t>
            </w:r>
            <w:r>
              <w:rPr>
                <w:rFonts w:ascii="Arial" w:hAnsi="Arial" w:cs="Arial"/>
                <w:sz w:val="24"/>
                <w:szCs w:val="24"/>
              </w:rPr>
              <w:t xml:space="preserve"> employment sites dashboard.</w:t>
            </w:r>
          </w:p>
          <w:p w:rsidR="008926D0" w:rsidRPr="00881D79" w:rsidRDefault="00A44354" w:rsidP="00881D79">
            <w:pPr>
              <w:tabs>
                <w:tab w:val="left" w:pos="29"/>
              </w:tabs>
              <w:spacing w:after="0" w:line="240" w:lineRule="auto"/>
              <w:ind w:left="29"/>
              <w:jc w:val="both"/>
              <w:rPr>
                <w:rFonts w:ascii="Arial" w:hAnsi="Arial" w:cs="Arial"/>
                <w:sz w:val="24"/>
                <w:szCs w:val="24"/>
              </w:rPr>
            </w:pPr>
            <w:r w:rsidRPr="00881D79">
              <w:rPr>
                <w:rFonts w:ascii="Arial" w:hAnsi="Arial" w:cs="Arial"/>
                <w:b/>
                <w:sz w:val="24"/>
                <w:szCs w:val="24"/>
              </w:rPr>
              <w:t>Employment and skills</w:t>
            </w:r>
            <w:r w:rsidRPr="00881D79">
              <w:rPr>
                <w:rFonts w:ascii="Arial" w:hAnsi="Arial" w:cs="Arial"/>
                <w:sz w:val="24"/>
                <w:szCs w:val="24"/>
              </w:rPr>
              <w:t xml:space="preserve"> – Work continues with partners to deliver a range of activities with schools and businesses aimed at encouraging the recruitment of apprentices within the construction sector – a number o</w:t>
            </w:r>
            <w:r>
              <w:rPr>
                <w:rFonts w:ascii="Arial" w:hAnsi="Arial" w:cs="Arial"/>
                <w:sz w:val="24"/>
                <w:szCs w:val="24"/>
              </w:rPr>
              <w:t>f case studies are i</w:t>
            </w:r>
            <w:r w:rsidR="004F4921">
              <w:rPr>
                <w:rFonts w:ascii="Arial" w:hAnsi="Arial" w:cs="Arial"/>
                <w:sz w:val="24"/>
                <w:szCs w:val="24"/>
              </w:rPr>
              <w:t>ncluded in Appendix '3</w:t>
            </w:r>
            <w:r>
              <w:rPr>
                <w:rFonts w:ascii="Arial" w:hAnsi="Arial" w:cs="Arial"/>
                <w:sz w:val="24"/>
                <w:szCs w:val="24"/>
              </w:rPr>
              <w:t>'</w:t>
            </w:r>
            <w:r w:rsidRPr="00881D79">
              <w:rPr>
                <w:rFonts w:ascii="Arial" w:hAnsi="Arial" w:cs="Arial"/>
                <w:sz w:val="24"/>
                <w:szCs w:val="24"/>
              </w:rPr>
              <w:t>.</w:t>
            </w:r>
          </w:p>
          <w:p w:rsidR="008926D0" w:rsidRPr="00881D79" w:rsidRDefault="00A44354" w:rsidP="00881D79">
            <w:pPr>
              <w:tabs>
                <w:tab w:val="left" w:pos="29"/>
              </w:tabs>
              <w:spacing w:after="0" w:line="240" w:lineRule="auto"/>
              <w:ind w:left="29"/>
              <w:jc w:val="both"/>
              <w:rPr>
                <w:rFonts w:ascii="Arial" w:hAnsi="Arial" w:cs="Arial"/>
                <w:sz w:val="24"/>
                <w:szCs w:val="24"/>
              </w:rPr>
            </w:pPr>
            <w:r w:rsidRPr="00881D79">
              <w:rPr>
                <w:rFonts w:ascii="Arial" w:hAnsi="Arial" w:cs="Arial"/>
                <w:b/>
                <w:sz w:val="24"/>
                <w:szCs w:val="24"/>
              </w:rPr>
              <w:t>Public and Private sector investment</w:t>
            </w:r>
            <w:r w:rsidRPr="00881D79">
              <w:rPr>
                <w:rFonts w:ascii="Arial" w:hAnsi="Arial" w:cs="Arial"/>
                <w:sz w:val="24"/>
                <w:szCs w:val="24"/>
              </w:rPr>
              <w:t xml:space="preserve"> – A total of £44.9m of public and private sector investment has been made in transport infrastructure during 2017/18.</w:t>
            </w:r>
          </w:p>
          <w:p w:rsidR="00B45F7C" w:rsidRPr="00881D79" w:rsidRDefault="00A44354" w:rsidP="00A44354">
            <w:pPr>
              <w:tabs>
                <w:tab w:val="left" w:pos="29"/>
              </w:tabs>
              <w:spacing w:after="0" w:line="240" w:lineRule="auto"/>
              <w:ind w:left="29"/>
              <w:jc w:val="both"/>
              <w:rPr>
                <w:rFonts w:ascii="Arial" w:hAnsi="Arial" w:cs="Arial"/>
                <w:sz w:val="24"/>
                <w:szCs w:val="24"/>
              </w:rPr>
            </w:pPr>
            <w:r w:rsidRPr="00881D79">
              <w:rPr>
                <w:rFonts w:ascii="Arial" w:hAnsi="Arial" w:cs="Arial"/>
                <w:b/>
                <w:sz w:val="24"/>
                <w:szCs w:val="24"/>
              </w:rPr>
              <w:t>Infrastructure update</w:t>
            </w:r>
            <w:r w:rsidRPr="00881D79">
              <w:rPr>
                <w:rFonts w:ascii="Arial" w:hAnsi="Arial" w:cs="Arial"/>
                <w:sz w:val="24"/>
                <w:szCs w:val="24"/>
              </w:rPr>
              <w:t xml:space="preserve"> – Broughton Bypass and Pope Lane roundabout completed in Year 4 and work started on the Penwortham Bypass.  Significant work was undertaken during year 4 to secure statutory approvals for the Preston Western Distributor. </w:t>
            </w:r>
          </w:p>
          <w:p w:rsidR="00881D79" w:rsidRDefault="00881D79" w:rsidP="00881D79">
            <w:pPr>
              <w:pStyle w:val="Heading5"/>
              <w:spacing w:before="0" w:line="240" w:lineRule="auto"/>
              <w:jc w:val="both"/>
              <w:rPr>
                <w:rFonts w:ascii="Arial" w:hAnsi="Arial" w:cs="Arial"/>
                <w:b/>
                <w:color w:val="auto"/>
              </w:rPr>
            </w:pPr>
          </w:p>
          <w:p w:rsidR="00881D79" w:rsidRPr="00881D79" w:rsidRDefault="00A44354" w:rsidP="00881D79">
            <w:pPr>
              <w:pStyle w:val="Heading5"/>
              <w:spacing w:before="0" w:line="240" w:lineRule="auto"/>
              <w:jc w:val="both"/>
              <w:rPr>
                <w:rFonts w:ascii="Arial" w:hAnsi="Arial" w:cs="Arial"/>
                <w:b/>
                <w:color w:val="auto"/>
              </w:rPr>
            </w:pPr>
            <w:r w:rsidRPr="00881D79">
              <w:rPr>
                <w:rFonts w:ascii="Arial" w:hAnsi="Arial" w:cs="Arial"/>
                <w:b/>
                <w:color w:val="auto"/>
              </w:rPr>
              <w:t>Recommendation</w:t>
            </w:r>
            <w:r w:rsidR="00881D79">
              <w:rPr>
                <w:rFonts w:ascii="Arial" w:hAnsi="Arial" w:cs="Arial"/>
                <w:b/>
                <w:color w:val="auto"/>
              </w:rPr>
              <w:br/>
            </w:r>
          </w:p>
          <w:p w:rsidR="00B45F7C" w:rsidRDefault="00A44354" w:rsidP="00881D79">
            <w:pPr>
              <w:tabs>
                <w:tab w:val="left" w:pos="0"/>
              </w:tabs>
              <w:spacing w:after="0" w:line="240" w:lineRule="auto"/>
              <w:ind w:left="29" w:hanging="29"/>
              <w:jc w:val="both"/>
              <w:rPr>
                <w:rFonts w:ascii="Arial" w:hAnsi="Arial" w:cs="Arial"/>
                <w:sz w:val="24"/>
                <w:szCs w:val="24"/>
              </w:rPr>
            </w:pPr>
            <w:r w:rsidRPr="00881D79">
              <w:rPr>
                <w:rFonts w:ascii="Arial" w:hAnsi="Arial" w:cs="Arial"/>
                <w:sz w:val="24"/>
                <w:szCs w:val="24"/>
              </w:rPr>
              <w:t>The City Deal Executive and Stewardship Board is requested to note the overall performance of the Programme in 2017/18 and endorse the proposed Annual Return to Government as set out in the report.</w:t>
            </w:r>
          </w:p>
          <w:p w:rsidR="00881D79" w:rsidRPr="000F5301" w:rsidRDefault="00881D79" w:rsidP="00881D79">
            <w:pPr>
              <w:tabs>
                <w:tab w:val="left" w:pos="0"/>
              </w:tabs>
              <w:spacing w:after="0" w:line="240" w:lineRule="auto"/>
              <w:ind w:left="29" w:hanging="29"/>
              <w:jc w:val="both"/>
              <w:rPr>
                <w:rFonts w:ascii="Arial" w:hAnsi="Arial" w:cs="Arial"/>
              </w:rPr>
            </w:pPr>
          </w:p>
        </w:tc>
      </w:tr>
    </w:tbl>
    <w:p w:rsidR="00B45F7C" w:rsidRPr="00D3134F" w:rsidRDefault="003E7C2A" w:rsidP="00B45F7C">
      <w:pPr>
        <w:pStyle w:val="Header"/>
        <w:rPr>
          <w:rFonts w:ascii="Arial" w:hAnsi="Arial" w:cs="Arial"/>
          <w:sz w:val="24"/>
          <w:szCs w:val="24"/>
        </w:rPr>
      </w:pPr>
    </w:p>
    <w:p w:rsidR="00B45F7C" w:rsidRPr="00881D79" w:rsidRDefault="00A44354" w:rsidP="00B45F7C">
      <w:pPr>
        <w:spacing w:after="0" w:line="240" w:lineRule="auto"/>
        <w:rPr>
          <w:rFonts w:ascii="Arial" w:hAnsi="Arial" w:cs="Arial"/>
          <w:b/>
          <w:sz w:val="24"/>
          <w:szCs w:val="24"/>
        </w:rPr>
      </w:pPr>
      <w:r w:rsidRPr="00881D79">
        <w:rPr>
          <w:rFonts w:ascii="Arial" w:hAnsi="Arial" w:cs="Arial"/>
          <w:b/>
          <w:sz w:val="24"/>
          <w:szCs w:val="24"/>
        </w:rPr>
        <w:t xml:space="preserve">Background and Advice </w:t>
      </w:r>
    </w:p>
    <w:p w:rsidR="00B45F7C" w:rsidRPr="00881D79" w:rsidRDefault="003E7C2A" w:rsidP="00B45F7C">
      <w:pPr>
        <w:spacing w:after="0" w:line="240" w:lineRule="auto"/>
        <w:rPr>
          <w:rFonts w:ascii="Arial" w:hAnsi="Arial" w:cs="Arial"/>
          <w:b/>
          <w:sz w:val="24"/>
          <w:szCs w:val="24"/>
        </w:rPr>
      </w:pPr>
    </w:p>
    <w:p w:rsidR="00B45F7C" w:rsidRPr="00881D79" w:rsidRDefault="00A44354" w:rsidP="00881D79">
      <w:pPr>
        <w:numPr>
          <w:ilvl w:val="0"/>
          <w:numId w:val="12"/>
        </w:numPr>
        <w:spacing w:after="0" w:line="240" w:lineRule="auto"/>
        <w:ind w:left="426" w:hanging="426"/>
        <w:contextualSpacing/>
        <w:jc w:val="both"/>
        <w:rPr>
          <w:rFonts w:ascii="Arial" w:hAnsi="Arial" w:cs="Arial"/>
          <w:b/>
          <w:sz w:val="24"/>
          <w:szCs w:val="24"/>
        </w:rPr>
      </w:pPr>
      <w:r w:rsidRPr="00881D79">
        <w:rPr>
          <w:rFonts w:ascii="Arial" w:hAnsi="Arial" w:cs="Arial"/>
          <w:b/>
          <w:sz w:val="24"/>
          <w:szCs w:val="24"/>
        </w:rPr>
        <w:t xml:space="preserve">Background and Advice </w:t>
      </w:r>
    </w:p>
    <w:p w:rsidR="00B45F7C" w:rsidRPr="00881D79" w:rsidRDefault="003E7C2A" w:rsidP="00B45F7C">
      <w:pPr>
        <w:tabs>
          <w:tab w:val="left" w:pos="426"/>
        </w:tabs>
        <w:spacing w:after="0" w:line="240" w:lineRule="auto"/>
        <w:jc w:val="both"/>
        <w:rPr>
          <w:rFonts w:ascii="Arial" w:hAnsi="Arial" w:cs="Arial"/>
          <w:b/>
          <w:sz w:val="24"/>
          <w:szCs w:val="24"/>
        </w:rPr>
      </w:pPr>
    </w:p>
    <w:p w:rsidR="00B45F7C" w:rsidRPr="00881D79" w:rsidRDefault="00A44354" w:rsidP="00B45F7C">
      <w:pPr>
        <w:tabs>
          <w:tab w:val="left" w:pos="426"/>
        </w:tabs>
        <w:spacing w:after="0" w:line="240" w:lineRule="auto"/>
        <w:ind w:left="426" w:hanging="426"/>
        <w:jc w:val="both"/>
        <w:rPr>
          <w:rFonts w:ascii="Arial" w:hAnsi="Arial" w:cs="Arial"/>
          <w:sz w:val="24"/>
          <w:szCs w:val="24"/>
        </w:rPr>
      </w:pPr>
      <w:r w:rsidRPr="00881D79">
        <w:rPr>
          <w:rFonts w:ascii="Arial" w:hAnsi="Arial" w:cs="Arial"/>
          <w:sz w:val="24"/>
          <w:szCs w:val="24"/>
        </w:rPr>
        <w:t xml:space="preserve">1.1 The Stewardship Board previously agreed that two sets of monitoring outputs be prepared annually:   </w:t>
      </w:r>
    </w:p>
    <w:p w:rsidR="00B45F7C" w:rsidRPr="00881D79" w:rsidRDefault="003E7C2A" w:rsidP="00B45F7C">
      <w:pPr>
        <w:tabs>
          <w:tab w:val="left" w:pos="426"/>
        </w:tabs>
        <w:spacing w:after="0" w:line="240" w:lineRule="auto"/>
        <w:jc w:val="both"/>
        <w:rPr>
          <w:rFonts w:ascii="Arial" w:hAnsi="Arial" w:cs="Arial"/>
          <w:sz w:val="24"/>
          <w:szCs w:val="24"/>
        </w:rPr>
      </w:pPr>
    </w:p>
    <w:p w:rsidR="00B45F7C" w:rsidRPr="00881D79" w:rsidRDefault="00A44354" w:rsidP="00B45F7C">
      <w:pPr>
        <w:tabs>
          <w:tab w:val="left" w:pos="426"/>
        </w:tabs>
        <w:spacing w:after="0" w:line="240" w:lineRule="auto"/>
        <w:ind w:left="426" w:hanging="426"/>
        <w:jc w:val="both"/>
        <w:rPr>
          <w:rFonts w:ascii="Arial" w:hAnsi="Arial" w:cs="Arial"/>
          <w:sz w:val="24"/>
          <w:szCs w:val="24"/>
        </w:rPr>
      </w:pPr>
      <w:r w:rsidRPr="00881D79">
        <w:rPr>
          <w:rFonts w:ascii="Arial" w:hAnsi="Arial" w:cs="Arial"/>
          <w:sz w:val="24"/>
          <w:szCs w:val="24"/>
        </w:rPr>
        <w:t>1.2</w:t>
      </w:r>
      <w:r w:rsidRPr="00881D79">
        <w:rPr>
          <w:rFonts w:ascii="Arial" w:hAnsi="Arial" w:cs="Arial"/>
          <w:sz w:val="24"/>
          <w:szCs w:val="24"/>
        </w:rPr>
        <w:tab/>
        <w:t>Firstly, the Core Output data set agreed with Government</w:t>
      </w:r>
      <w:r w:rsidR="00881D79">
        <w:rPr>
          <w:rFonts w:ascii="Arial" w:hAnsi="Arial" w:cs="Arial"/>
          <w:sz w:val="24"/>
          <w:szCs w:val="24"/>
        </w:rPr>
        <w:t xml:space="preserve">, </w:t>
      </w:r>
      <w:r w:rsidRPr="00881D79">
        <w:rPr>
          <w:rFonts w:ascii="Arial" w:hAnsi="Arial" w:cs="Arial"/>
          <w:sz w:val="24"/>
          <w:szCs w:val="24"/>
        </w:rPr>
        <w:t xml:space="preserve">including housing units (consented and completed), commercial floorspace (consented and completed), private sector investment and jobs accommodated. It was agreed that this data set should form the substantive part of the Annual Monitoring Return to Government, and; </w:t>
      </w:r>
    </w:p>
    <w:p w:rsidR="00B45F7C" w:rsidRPr="00881D79" w:rsidRDefault="003E7C2A" w:rsidP="00B45F7C">
      <w:pPr>
        <w:tabs>
          <w:tab w:val="left" w:pos="426"/>
        </w:tabs>
        <w:spacing w:after="0" w:line="240" w:lineRule="auto"/>
        <w:ind w:left="426" w:hanging="426"/>
        <w:jc w:val="both"/>
        <w:rPr>
          <w:rFonts w:ascii="Arial" w:hAnsi="Arial" w:cs="Arial"/>
          <w:sz w:val="24"/>
          <w:szCs w:val="24"/>
        </w:rPr>
      </w:pPr>
    </w:p>
    <w:p w:rsidR="00B45F7C" w:rsidRPr="00881D79" w:rsidRDefault="00A44354" w:rsidP="00B45F7C">
      <w:pPr>
        <w:tabs>
          <w:tab w:val="left" w:pos="426"/>
        </w:tabs>
        <w:spacing w:after="0" w:line="240" w:lineRule="auto"/>
        <w:ind w:left="426" w:hanging="426"/>
        <w:jc w:val="both"/>
        <w:rPr>
          <w:rFonts w:ascii="Arial" w:hAnsi="Arial" w:cs="Arial"/>
          <w:sz w:val="24"/>
          <w:szCs w:val="24"/>
        </w:rPr>
      </w:pPr>
      <w:r w:rsidRPr="00881D79">
        <w:rPr>
          <w:rFonts w:ascii="Arial" w:hAnsi="Arial" w:cs="Arial"/>
          <w:sz w:val="24"/>
          <w:szCs w:val="24"/>
        </w:rPr>
        <w:t xml:space="preserve">1.3 Secondly, a Supporting Output data set to include metrics to track planning consents, development activity on specific sites (including Homes England sites), and outputs to monitor progress with transport and community schemes. It was agreed that this data set should be presented annually to the Stewardship Board and Executive for consideration by the local partners.  </w:t>
      </w:r>
    </w:p>
    <w:p w:rsidR="00B45F7C" w:rsidRPr="00881D79" w:rsidRDefault="003E7C2A" w:rsidP="00B45F7C">
      <w:pPr>
        <w:tabs>
          <w:tab w:val="left" w:pos="426"/>
        </w:tabs>
        <w:spacing w:after="0" w:line="240" w:lineRule="auto"/>
        <w:jc w:val="both"/>
        <w:rPr>
          <w:rFonts w:ascii="Arial" w:hAnsi="Arial" w:cs="Arial"/>
          <w:sz w:val="24"/>
          <w:szCs w:val="24"/>
        </w:rPr>
      </w:pPr>
    </w:p>
    <w:p w:rsidR="00B45F7C" w:rsidRPr="00881D79" w:rsidRDefault="00A44354" w:rsidP="00B45F7C">
      <w:pPr>
        <w:tabs>
          <w:tab w:val="left" w:pos="426"/>
        </w:tabs>
        <w:spacing w:after="0" w:line="240" w:lineRule="auto"/>
        <w:ind w:left="426" w:hanging="426"/>
        <w:jc w:val="both"/>
        <w:rPr>
          <w:rFonts w:ascii="Arial" w:hAnsi="Arial" w:cs="Arial"/>
          <w:sz w:val="24"/>
          <w:szCs w:val="24"/>
        </w:rPr>
      </w:pPr>
      <w:r w:rsidRPr="00881D79">
        <w:rPr>
          <w:rFonts w:ascii="Arial" w:hAnsi="Arial" w:cs="Arial"/>
          <w:sz w:val="24"/>
          <w:szCs w:val="24"/>
        </w:rPr>
        <w:t>1.4 This report sets out Year 4 performance and performance to date against both sets of outputs</w:t>
      </w:r>
    </w:p>
    <w:p w:rsidR="00B45F7C" w:rsidRPr="00881D79" w:rsidRDefault="003E7C2A" w:rsidP="00B45F7C">
      <w:pPr>
        <w:tabs>
          <w:tab w:val="left" w:pos="426"/>
        </w:tabs>
        <w:spacing w:after="0" w:line="240" w:lineRule="auto"/>
        <w:ind w:left="360" w:hanging="360"/>
        <w:contextualSpacing/>
        <w:jc w:val="both"/>
        <w:rPr>
          <w:rFonts w:ascii="Arial" w:hAnsi="Arial" w:cs="Arial"/>
          <w:sz w:val="24"/>
          <w:szCs w:val="24"/>
        </w:rPr>
      </w:pPr>
    </w:p>
    <w:p w:rsidR="00B45F7C" w:rsidRPr="00881D79" w:rsidRDefault="00A44354" w:rsidP="00B45F7C">
      <w:pPr>
        <w:tabs>
          <w:tab w:val="left" w:pos="426"/>
        </w:tabs>
        <w:spacing w:after="0" w:line="240" w:lineRule="auto"/>
        <w:jc w:val="both"/>
        <w:rPr>
          <w:rFonts w:ascii="Arial" w:hAnsi="Arial" w:cs="Arial"/>
          <w:b/>
          <w:sz w:val="24"/>
          <w:szCs w:val="24"/>
        </w:rPr>
      </w:pPr>
      <w:r w:rsidRPr="00881D79">
        <w:rPr>
          <w:rFonts w:ascii="Arial" w:hAnsi="Arial" w:cs="Arial"/>
          <w:b/>
          <w:sz w:val="24"/>
          <w:szCs w:val="24"/>
        </w:rPr>
        <w:t xml:space="preserve">2.0 Housing Outputs </w:t>
      </w:r>
    </w:p>
    <w:p w:rsidR="00B45F7C" w:rsidRPr="00881D79" w:rsidRDefault="003E7C2A" w:rsidP="00B45F7C">
      <w:pPr>
        <w:tabs>
          <w:tab w:val="left" w:pos="426"/>
        </w:tabs>
        <w:spacing w:after="0" w:line="240" w:lineRule="auto"/>
        <w:jc w:val="both"/>
        <w:rPr>
          <w:rFonts w:ascii="Arial" w:hAnsi="Arial" w:cs="Arial"/>
          <w:sz w:val="24"/>
          <w:szCs w:val="24"/>
        </w:rPr>
      </w:pPr>
    </w:p>
    <w:p w:rsidR="00B45F7C" w:rsidRPr="00881D79" w:rsidRDefault="00A44354" w:rsidP="00B45F7C">
      <w:pPr>
        <w:tabs>
          <w:tab w:val="left" w:pos="426"/>
        </w:tabs>
        <w:spacing w:after="0" w:line="240" w:lineRule="auto"/>
        <w:ind w:left="426" w:hanging="426"/>
        <w:jc w:val="both"/>
        <w:rPr>
          <w:rFonts w:ascii="Arial" w:hAnsi="Arial" w:cs="Arial"/>
          <w:sz w:val="24"/>
          <w:szCs w:val="24"/>
        </w:rPr>
      </w:pPr>
      <w:r w:rsidRPr="00881D79">
        <w:rPr>
          <w:rFonts w:ascii="Arial" w:hAnsi="Arial" w:cs="Arial"/>
          <w:sz w:val="24"/>
          <w:szCs w:val="24"/>
        </w:rPr>
        <w:t xml:space="preserve">2.1 Overall, since the start of the Deal period, housing completions stand at </w:t>
      </w:r>
      <w:r w:rsidRPr="00881D79">
        <w:rPr>
          <w:rFonts w:ascii="Arial" w:hAnsi="Arial" w:cs="Arial"/>
          <w:b/>
          <w:sz w:val="24"/>
          <w:szCs w:val="24"/>
        </w:rPr>
        <w:t xml:space="preserve">3702 </w:t>
      </w:r>
      <w:r w:rsidRPr="00881D79">
        <w:rPr>
          <w:rFonts w:ascii="Arial" w:hAnsi="Arial" w:cs="Arial"/>
          <w:sz w:val="24"/>
          <w:szCs w:val="24"/>
        </w:rPr>
        <w:t xml:space="preserve">with </w:t>
      </w:r>
      <w:r w:rsidRPr="00881D79">
        <w:rPr>
          <w:rFonts w:ascii="Arial" w:hAnsi="Arial" w:cs="Arial"/>
          <w:b/>
          <w:sz w:val="24"/>
          <w:szCs w:val="24"/>
        </w:rPr>
        <w:t xml:space="preserve">965 </w:t>
      </w:r>
      <w:r w:rsidRPr="00881D79">
        <w:rPr>
          <w:rFonts w:ascii="Arial" w:hAnsi="Arial" w:cs="Arial"/>
          <w:sz w:val="24"/>
          <w:szCs w:val="24"/>
        </w:rPr>
        <w:t>completions recorded in year 4 2017/18</w:t>
      </w:r>
      <w:r w:rsidRPr="00881D79">
        <w:rPr>
          <w:rFonts w:ascii="Arial" w:hAnsi="Arial" w:cs="Arial"/>
          <w:b/>
          <w:sz w:val="24"/>
          <w:szCs w:val="24"/>
        </w:rPr>
        <w:t>.</w:t>
      </w:r>
      <w:r w:rsidRPr="00881D79">
        <w:rPr>
          <w:rFonts w:ascii="Arial" w:hAnsi="Arial" w:cs="Arial"/>
          <w:sz w:val="24"/>
          <w:szCs w:val="24"/>
        </w:rPr>
        <w:t xml:space="preserve">  A reconciliation exercise has taken place and adjustments to previously reported figures have shown that more completions have actually taken place than previously reported.  </w:t>
      </w:r>
      <w:r w:rsidRPr="00881D79">
        <w:rPr>
          <w:rFonts w:ascii="Arial" w:hAnsi="Arial" w:cs="Arial"/>
          <w:b/>
          <w:sz w:val="24"/>
          <w:szCs w:val="24"/>
        </w:rPr>
        <w:t xml:space="preserve">3702 </w:t>
      </w:r>
      <w:r w:rsidRPr="00881D79">
        <w:rPr>
          <w:rFonts w:ascii="Arial" w:hAnsi="Arial" w:cs="Arial"/>
          <w:sz w:val="24"/>
          <w:szCs w:val="24"/>
        </w:rPr>
        <w:t xml:space="preserve">completions exceeds the Keppie Massie target of </w:t>
      </w:r>
      <w:r w:rsidRPr="00881D79">
        <w:rPr>
          <w:rFonts w:ascii="Arial" w:hAnsi="Arial" w:cs="Arial"/>
          <w:b/>
          <w:sz w:val="24"/>
          <w:szCs w:val="24"/>
        </w:rPr>
        <w:t xml:space="preserve">2996 </w:t>
      </w:r>
      <w:r w:rsidRPr="00881D79">
        <w:rPr>
          <w:rFonts w:ascii="Arial" w:hAnsi="Arial" w:cs="Arial"/>
          <w:sz w:val="24"/>
          <w:szCs w:val="24"/>
        </w:rPr>
        <w:t xml:space="preserve">but is lower than the original City Deal target of </w:t>
      </w:r>
      <w:r w:rsidRPr="00881D79">
        <w:rPr>
          <w:rFonts w:ascii="Arial" w:hAnsi="Arial" w:cs="Arial"/>
          <w:b/>
          <w:sz w:val="24"/>
          <w:szCs w:val="24"/>
        </w:rPr>
        <w:t>4176.</w:t>
      </w:r>
      <w:r w:rsidRPr="00881D79">
        <w:rPr>
          <w:rFonts w:ascii="Arial" w:hAnsi="Arial" w:cs="Arial"/>
          <w:sz w:val="24"/>
          <w:szCs w:val="24"/>
        </w:rPr>
        <w:t xml:space="preserve">  Housing performance is strong, although it should be noted that not all units counted for Government reporting will generate income for the finance model.  This will be explored more fully following the housing site review being undertaken by Hive.</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B45F7C">
      <w:pPr>
        <w:spacing w:after="0" w:line="240" w:lineRule="auto"/>
        <w:ind w:left="426" w:hanging="426"/>
        <w:jc w:val="both"/>
        <w:rPr>
          <w:rFonts w:ascii="Arial" w:hAnsi="Arial" w:cs="Arial"/>
          <w:sz w:val="24"/>
          <w:szCs w:val="24"/>
        </w:rPr>
      </w:pPr>
      <w:r w:rsidRPr="00881D79">
        <w:rPr>
          <w:rFonts w:ascii="Arial" w:hAnsi="Arial" w:cs="Arial"/>
          <w:sz w:val="24"/>
          <w:szCs w:val="24"/>
        </w:rPr>
        <w:t xml:space="preserve">2.2 From the planning perspective, a total of </w:t>
      </w:r>
      <w:r w:rsidRPr="00881D79">
        <w:rPr>
          <w:rFonts w:ascii="Arial" w:hAnsi="Arial" w:cs="Arial"/>
          <w:b/>
          <w:sz w:val="24"/>
          <w:szCs w:val="24"/>
        </w:rPr>
        <w:t>13,010</w:t>
      </w:r>
      <w:r w:rsidRPr="00881D79">
        <w:rPr>
          <w:rFonts w:ascii="Arial" w:hAnsi="Arial" w:cs="Arial"/>
          <w:sz w:val="24"/>
          <w:szCs w:val="24"/>
        </w:rPr>
        <w:t xml:space="preserve"> housing units cumulatively have been submitted for planning up to year 4.  In year 4, the overall submissions totalled </w:t>
      </w:r>
      <w:r w:rsidRPr="00881D79">
        <w:rPr>
          <w:rFonts w:ascii="Arial" w:hAnsi="Arial" w:cs="Arial"/>
          <w:b/>
          <w:sz w:val="24"/>
          <w:szCs w:val="24"/>
        </w:rPr>
        <w:t>2836</w:t>
      </w:r>
      <w:r w:rsidRPr="00881D79">
        <w:rPr>
          <w:rFonts w:ascii="Arial" w:hAnsi="Arial" w:cs="Arial"/>
          <w:sz w:val="24"/>
          <w:szCs w:val="24"/>
        </w:rPr>
        <w:t xml:space="preserve"> exceeding the annual target of </w:t>
      </w:r>
      <w:r w:rsidRPr="00881D79">
        <w:rPr>
          <w:rFonts w:ascii="Arial" w:hAnsi="Arial" w:cs="Arial"/>
          <w:b/>
          <w:sz w:val="24"/>
          <w:szCs w:val="24"/>
        </w:rPr>
        <w:t>1405.</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B45F7C">
      <w:pPr>
        <w:spacing w:after="0" w:line="240" w:lineRule="auto"/>
        <w:ind w:left="426" w:hanging="426"/>
        <w:jc w:val="both"/>
        <w:rPr>
          <w:rFonts w:ascii="Arial" w:hAnsi="Arial" w:cs="Arial"/>
          <w:sz w:val="24"/>
          <w:szCs w:val="24"/>
        </w:rPr>
      </w:pPr>
      <w:r w:rsidRPr="00881D79">
        <w:rPr>
          <w:rFonts w:ascii="Arial" w:hAnsi="Arial" w:cs="Arial"/>
          <w:sz w:val="24"/>
          <w:szCs w:val="24"/>
        </w:rPr>
        <w:lastRenderedPageBreak/>
        <w:t xml:space="preserve">2.3 Planning consents in year 4 were </w:t>
      </w:r>
      <w:r w:rsidRPr="00881D79">
        <w:rPr>
          <w:rFonts w:ascii="Arial" w:hAnsi="Arial" w:cs="Arial"/>
          <w:b/>
          <w:sz w:val="24"/>
          <w:szCs w:val="24"/>
        </w:rPr>
        <w:t>2094</w:t>
      </w:r>
      <w:r w:rsidRPr="00881D79">
        <w:rPr>
          <w:rFonts w:ascii="Arial" w:hAnsi="Arial" w:cs="Arial"/>
          <w:sz w:val="24"/>
          <w:szCs w:val="24"/>
        </w:rPr>
        <w:t xml:space="preserve"> against a target of </w:t>
      </w:r>
      <w:r>
        <w:rPr>
          <w:rFonts w:ascii="Arial" w:hAnsi="Arial" w:cs="Arial"/>
          <w:b/>
          <w:sz w:val="24"/>
          <w:szCs w:val="24"/>
        </w:rPr>
        <w:t xml:space="preserve">1740. </w:t>
      </w:r>
      <w:r w:rsidRPr="00881D79">
        <w:rPr>
          <w:rFonts w:ascii="Arial" w:hAnsi="Arial" w:cs="Arial"/>
          <w:sz w:val="24"/>
          <w:szCs w:val="24"/>
        </w:rPr>
        <w:t xml:space="preserve">In total </w:t>
      </w:r>
      <w:r w:rsidRPr="00881D79">
        <w:rPr>
          <w:rFonts w:ascii="Arial" w:hAnsi="Arial" w:cs="Arial"/>
          <w:b/>
          <w:sz w:val="24"/>
          <w:szCs w:val="24"/>
        </w:rPr>
        <w:t>12529</w:t>
      </w:r>
      <w:r w:rsidRPr="00881D79">
        <w:rPr>
          <w:rFonts w:ascii="Arial" w:hAnsi="Arial" w:cs="Arial"/>
          <w:sz w:val="24"/>
          <w:szCs w:val="24"/>
        </w:rPr>
        <w:t xml:space="preserve"> units across the City Deal area have been consented with outline or full planning permission.</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B45F7C">
      <w:pPr>
        <w:spacing w:after="0" w:line="240" w:lineRule="auto"/>
        <w:jc w:val="both"/>
        <w:rPr>
          <w:rFonts w:ascii="Arial" w:hAnsi="Arial" w:cs="Arial"/>
          <w:sz w:val="24"/>
          <w:szCs w:val="24"/>
        </w:rPr>
      </w:pPr>
      <w:r w:rsidRPr="00881D79">
        <w:rPr>
          <w:rFonts w:ascii="Arial" w:hAnsi="Arial" w:cs="Arial"/>
          <w:sz w:val="24"/>
          <w:szCs w:val="24"/>
        </w:rPr>
        <w:t>A breakdown of the housing tar</w:t>
      </w:r>
      <w:r w:rsidR="00881D79">
        <w:rPr>
          <w:rFonts w:ascii="Arial" w:hAnsi="Arial" w:cs="Arial"/>
          <w:sz w:val="24"/>
          <w:szCs w:val="24"/>
        </w:rPr>
        <w:t>gets and outputs is set out in T</w:t>
      </w:r>
      <w:r w:rsidRPr="00881D79">
        <w:rPr>
          <w:rFonts w:ascii="Arial" w:hAnsi="Arial" w:cs="Arial"/>
          <w:sz w:val="24"/>
          <w:szCs w:val="24"/>
        </w:rPr>
        <w:t xml:space="preserve">able 1 below </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B45F7C">
      <w:pPr>
        <w:spacing w:after="0" w:line="240" w:lineRule="auto"/>
        <w:jc w:val="both"/>
        <w:rPr>
          <w:rFonts w:ascii="Arial" w:hAnsi="Arial" w:cs="Arial"/>
          <w:sz w:val="24"/>
          <w:szCs w:val="24"/>
        </w:rPr>
      </w:pPr>
      <w:r w:rsidRPr="00881D79">
        <w:rPr>
          <w:rFonts w:ascii="Arial" w:hAnsi="Arial" w:cs="Arial"/>
          <w:b/>
          <w:sz w:val="24"/>
          <w:szCs w:val="24"/>
          <w:u w:val="single"/>
        </w:rPr>
        <w:t xml:space="preserve">Table 1 Housing – core and supporting outputs </w:t>
      </w:r>
    </w:p>
    <w:p w:rsidR="00B45F7C" w:rsidRPr="00881D79" w:rsidRDefault="003E7C2A" w:rsidP="00B45F7C">
      <w:pPr>
        <w:spacing w:after="0" w:line="240" w:lineRule="auto"/>
        <w:ind w:left="284"/>
        <w:jc w:val="both"/>
        <w:rPr>
          <w:rFonts w:ascii="Arial" w:hAnsi="Arial" w:cs="Arial"/>
          <w:b/>
          <w:sz w:val="24"/>
          <w:szCs w:val="24"/>
          <w:u w:val="single"/>
        </w:rPr>
      </w:pPr>
    </w:p>
    <w:tbl>
      <w:tblPr>
        <w:tblStyle w:val="TableGrid1"/>
        <w:tblW w:w="5000" w:type="pct"/>
        <w:tblLayout w:type="fixed"/>
        <w:tblLook w:val="04A0" w:firstRow="1" w:lastRow="0" w:firstColumn="1" w:lastColumn="0" w:noHBand="0" w:noVBand="1"/>
      </w:tblPr>
      <w:tblGrid>
        <w:gridCol w:w="2263"/>
        <w:gridCol w:w="1276"/>
        <w:gridCol w:w="1418"/>
        <w:gridCol w:w="1559"/>
        <w:gridCol w:w="2500"/>
      </w:tblGrid>
      <w:tr w:rsidR="009E2CA8" w:rsidRPr="00881D79" w:rsidTr="00B45F7C">
        <w:tc>
          <w:tcPr>
            <w:tcW w:w="2263" w:type="dxa"/>
          </w:tcPr>
          <w:p w:rsidR="00B45F7C" w:rsidRPr="00881D79" w:rsidRDefault="00A44354" w:rsidP="00881D79">
            <w:pPr>
              <w:rPr>
                <w:rFonts w:ascii="Arial" w:hAnsi="Arial" w:cs="Arial"/>
                <w:b/>
                <w:sz w:val="24"/>
                <w:szCs w:val="24"/>
              </w:rPr>
            </w:pPr>
            <w:r w:rsidRPr="00881D79">
              <w:rPr>
                <w:rFonts w:ascii="Arial" w:hAnsi="Arial" w:cs="Arial"/>
                <w:b/>
                <w:sz w:val="24"/>
                <w:szCs w:val="24"/>
              </w:rPr>
              <w:t>Core and supporting outputs</w:t>
            </w:r>
          </w:p>
        </w:tc>
        <w:tc>
          <w:tcPr>
            <w:tcW w:w="1276" w:type="dxa"/>
          </w:tcPr>
          <w:p w:rsidR="00B45F7C" w:rsidRPr="00881D79" w:rsidRDefault="00A44354" w:rsidP="00881D79">
            <w:pPr>
              <w:rPr>
                <w:rFonts w:ascii="Arial" w:hAnsi="Arial" w:cs="Arial"/>
                <w:b/>
                <w:sz w:val="24"/>
                <w:szCs w:val="24"/>
              </w:rPr>
            </w:pPr>
            <w:r w:rsidRPr="00881D79">
              <w:rPr>
                <w:rFonts w:ascii="Arial" w:hAnsi="Arial" w:cs="Arial"/>
                <w:b/>
                <w:sz w:val="24"/>
                <w:szCs w:val="24"/>
              </w:rPr>
              <w:t>17/18</w:t>
            </w:r>
          </w:p>
          <w:p w:rsidR="00B45F7C" w:rsidRPr="00881D79" w:rsidRDefault="00A44354" w:rsidP="00881D79">
            <w:pPr>
              <w:rPr>
                <w:rFonts w:ascii="Arial" w:hAnsi="Arial" w:cs="Arial"/>
                <w:b/>
                <w:sz w:val="24"/>
                <w:szCs w:val="24"/>
              </w:rPr>
            </w:pPr>
            <w:r w:rsidRPr="00881D79">
              <w:rPr>
                <w:rFonts w:ascii="Arial" w:hAnsi="Arial" w:cs="Arial"/>
                <w:b/>
                <w:sz w:val="24"/>
                <w:szCs w:val="24"/>
              </w:rPr>
              <w:t>Target</w:t>
            </w:r>
          </w:p>
          <w:p w:rsidR="00B45F7C" w:rsidRPr="00881D79" w:rsidRDefault="003E7C2A" w:rsidP="00881D79">
            <w:pPr>
              <w:rPr>
                <w:rFonts w:ascii="Arial" w:hAnsi="Arial" w:cs="Arial"/>
                <w:b/>
                <w:sz w:val="24"/>
                <w:szCs w:val="24"/>
              </w:rPr>
            </w:pPr>
          </w:p>
        </w:tc>
        <w:tc>
          <w:tcPr>
            <w:tcW w:w="1418" w:type="dxa"/>
          </w:tcPr>
          <w:p w:rsidR="00B45F7C" w:rsidRPr="00881D79" w:rsidRDefault="00A44354" w:rsidP="00881D79">
            <w:pPr>
              <w:rPr>
                <w:rFonts w:ascii="Arial" w:hAnsi="Arial" w:cs="Arial"/>
                <w:b/>
                <w:sz w:val="24"/>
                <w:szCs w:val="24"/>
              </w:rPr>
            </w:pPr>
            <w:r w:rsidRPr="00881D79">
              <w:rPr>
                <w:rFonts w:ascii="Arial" w:hAnsi="Arial" w:cs="Arial"/>
                <w:b/>
                <w:sz w:val="24"/>
                <w:szCs w:val="24"/>
              </w:rPr>
              <w:t>17/18 Actual</w:t>
            </w:r>
          </w:p>
          <w:p w:rsidR="00B45F7C" w:rsidRPr="00881D79" w:rsidRDefault="003E7C2A" w:rsidP="00881D79">
            <w:pPr>
              <w:rPr>
                <w:rFonts w:ascii="Arial" w:hAnsi="Arial" w:cs="Arial"/>
                <w:b/>
                <w:sz w:val="24"/>
                <w:szCs w:val="24"/>
              </w:rPr>
            </w:pPr>
          </w:p>
        </w:tc>
        <w:tc>
          <w:tcPr>
            <w:tcW w:w="1559" w:type="dxa"/>
          </w:tcPr>
          <w:p w:rsidR="00B45F7C" w:rsidRPr="00881D79" w:rsidRDefault="00A44354" w:rsidP="00881D79">
            <w:pPr>
              <w:rPr>
                <w:rFonts w:ascii="Arial" w:hAnsi="Arial" w:cs="Arial"/>
                <w:b/>
                <w:sz w:val="24"/>
                <w:szCs w:val="24"/>
              </w:rPr>
            </w:pPr>
            <w:r w:rsidRPr="00881D79">
              <w:rPr>
                <w:rFonts w:ascii="Arial" w:hAnsi="Arial" w:cs="Arial"/>
                <w:b/>
                <w:sz w:val="24"/>
                <w:szCs w:val="24"/>
              </w:rPr>
              <w:t>Total to date</w:t>
            </w:r>
          </w:p>
          <w:p w:rsidR="00B45F7C" w:rsidRPr="00881D79" w:rsidRDefault="003E7C2A" w:rsidP="00881D79">
            <w:pPr>
              <w:rPr>
                <w:rFonts w:ascii="Arial" w:hAnsi="Arial" w:cs="Arial"/>
                <w:b/>
                <w:sz w:val="24"/>
                <w:szCs w:val="24"/>
              </w:rPr>
            </w:pPr>
          </w:p>
          <w:p w:rsidR="00B45F7C" w:rsidRPr="00881D79" w:rsidRDefault="003E7C2A" w:rsidP="00881D79">
            <w:pPr>
              <w:rPr>
                <w:rFonts w:ascii="Arial" w:hAnsi="Arial" w:cs="Arial"/>
                <w:b/>
                <w:sz w:val="24"/>
                <w:szCs w:val="24"/>
              </w:rPr>
            </w:pPr>
          </w:p>
        </w:tc>
        <w:tc>
          <w:tcPr>
            <w:tcW w:w="2500" w:type="dxa"/>
          </w:tcPr>
          <w:p w:rsidR="00B45F7C" w:rsidRPr="00881D79" w:rsidRDefault="00A44354" w:rsidP="00881D79">
            <w:pPr>
              <w:rPr>
                <w:rFonts w:ascii="Arial" w:hAnsi="Arial" w:cs="Arial"/>
                <w:b/>
                <w:sz w:val="24"/>
                <w:szCs w:val="24"/>
              </w:rPr>
            </w:pPr>
            <w:r w:rsidRPr="00881D79">
              <w:rPr>
                <w:rFonts w:ascii="Arial" w:hAnsi="Arial" w:cs="Arial"/>
                <w:b/>
                <w:sz w:val="24"/>
                <w:szCs w:val="24"/>
              </w:rPr>
              <w:t xml:space="preserve">  All Years Cumulative Variance  </w:t>
            </w:r>
          </w:p>
        </w:tc>
      </w:tr>
      <w:tr w:rsidR="009E2CA8" w:rsidRPr="00881D79" w:rsidTr="00B45F7C">
        <w:tc>
          <w:tcPr>
            <w:tcW w:w="2263" w:type="dxa"/>
          </w:tcPr>
          <w:p w:rsidR="00B45F7C" w:rsidRPr="00881D79" w:rsidRDefault="00A44354" w:rsidP="00B45F7C">
            <w:pPr>
              <w:jc w:val="both"/>
              <w:rPr>
                <w:rFonts w:ascii="Arial" w:hAnsi="Arial" w:cs="Arial"/>
                <w:sz w:val="24"/>
                <w:szCs w:val="24"/>
              </w:rPr>
            </w:pPr>
            <w:r w:rsidRPr="00881D79">
              <w:rPr>
                <w:rFonts w:ascii="Arial" w:hAnsi="Arial" w:cs="Arial"/>
                <w:sz w:val="24"/>
                <w:szCs w:val="24"/>
              </w:rPr>
              <w:t xml:space="preserve">Total number of Housing units completed </w:t>
            </w:r>
          </w:p>
          <w:p w:rsidR="00B45F7C" w:rsidRPr="00881D79" w:rsidRDefault="003E7C2A" w:rsidP="00B45F7C">
            <w:pPr>
              <w:jc w:val="both"/>
              <w:rPr>
                <w:rFonts w:ascii="Arial" w:hAnsi="Arial" w:cs="Arial"/>
                <w:sz w:val="24"/>
                <w:szCs w:val="24"/>
              </w:rPr>
            </w:pPr>
          </w:p>
        </w:tc>
        <w:tc>
          <w:tcPr>
            <w:tcW w:w="1276" w:type="dxa"/>
          </w:tcPr>
          <w:p w:rsidR="00B45F7C" w:rsidRPr="00881D79" w:rsidRDefault="00A44354" w:rsidP="00B45F7C">
            <w:pPr>
              <w:tabs>
                <w:tab w:val="left" w:pos="885"/>
              </w:tabs>
              <w:jc w:val="both"/>
              <w:rPr>
                <w:rFonts w:ascii="Arial" w:hAnsi="Arial" w:cs="Arial"/>
                <w:sz w:val="24"/>
                <w:szCs w:val="24"/>
              </w:rPr>
            </w:pPr>
            <w:r w:rsidRPr="00881D79">
              <w:rPr>
                <w:rFonts w:ascii="Arial" w:hAnsi="Arial" w:cs="Arial"/>
                <w:sz w:val="24"/>
                <w:szCs w:val="24"/>
              </w:rPr>
              <w:t>980</w:t>
            </w:r>
          </w:p>
        </w:tc>
        <w:tc>
          <w:tcPr>
            <w:tcW w:w="1418" w:type="dxa"/>
          </w:tcPr>
          <w:p w:rsidR="00B45F7C" w:rsidRPr="00881D79" w:rsidRDefault="00A44354" w:rsidP="00B45F7C">
            <w:pPr>
              <w:tabs>
                <w:tab w:val="left" w:pos="885"/>
              </w:tabs>
              <w:jc w:val="both"/>
              <w:rPr>
                <w:rFonts w:ascii="Arial" w:hAnsi="Arial" w:cs="Arial"/>
                <w:sz w:val="24"/>
                <w:szCs w:val="24"/>
              </w:rPr>
            </w:pPr>
            <w:r w:rsidRPr="00881D79">
              <w:rPr>
                <w:rFonts w:ascii="Arial" w:hAnsi="Arial" w:cs="Arial"/>
                <w:sz w:val="24"/>
                <w:szCs w:val="24"/>
              </w:rPr>
              <w:t>965</w:t>
            </w:r>
          </w:p>
          <w:p w:rsidR="00B45F7C" w:rsidRPr="00881D79" w:rsidRDefault="003E7C2A" w:rsidP="00B45F7C">
            <w:pPr>
              <w:tabs>
                <w:tab w:val="left" w:pos="885"/>
              </w:tabs>
              <w:jc w:val="both"/>
              <w:rPr>
                <w:rFonts w:ascii="Arial" w:hAnsi="Arial" w:cs="Arial"/>
                <w:sz w:val="24"/>
                <w:szCs w:val="24"/>
              </w:rPr>
            </w:pPr>
          </w:p>
          <w:p w:rsidR="00B45F7C" w:rsidRPr="00881D79" w:rsidRDefault="003E7C2A" w:rsidP="00B45F7C">
            <w:pPr>
              <w:tabs>
                <w:tab w:val="left" w:pos="885"/>
              </w:tabs>
              <w:jc w:val="both"/>
              <w:rPr>
                <w:rFonts w:ascii="Arial" w:hAnsi="Arial" w:cs="Arial"/>
                <w:sz w:val="24"/>
                <w:szCs w:val="24"/>
              </w:rPr>
            </w:pPr>
          </w:p>
        </w:tc>
        <w:tc>
          <w:tcPr>
            <w:tcW w:w="1559" w:type="dxa"/>
          </w:tcPr>
          <w:p w:rsidR="00B45F7C" w:rsidRPr="00881D79" w:rsidRDefault="00A44354" w:rsidP="00B45F7C">
            <w:pPr>
              <w:tabs>
                <w:tab w:val="left" w:pos="885"/>
              </w:tabs>
              <w:jc w:val="both"/>
              <w:rPr>
                <w:rFonts w:ascii="Arial" w:hAnsi="Arial" w:cs="Arial"/>
                <w:sz w:val="24"/>
                <w:szCs w:val="24"/>
              </w:rPr>
            </w:pPr>
            <w:r w:rsidRPr="00881D79">
              <w:rPr>
                <w:rFonts w:ascii="Arial" w:hAnsi="Arial" w:cs="Arial"/>
                <w:sz w:val="24"/>
                <w:szCs w:val="24"/>
              </w:rPr>
              <w:t>3702</w:t>
            </w:r>
          </w:p>
        </w:tc>
        <w:tc>
          <w:tcPr>
            <w:tcW w:w="2500" w:type="dxa"/>
          </w:tcPr>
          <w:p w:rsidR="00B45F7C" w:rsidRPr="00881D79" w:rsidRDefault="00A44354" w:rsidP="00B45F7C">
            <w:pPr>
              <w:tabs>
                <w:tab w:val="left" w:pos="885"/>
              </w:tabs>
              <w:jc w:val="both"/>
              <w:rPr>
                <w:rFonts w:ascii="Arial" w:hAnsi="Arial" w:cs="Arial"/>
                <w:sz w:val="24"/>
                <w:szCs w:val="24"/>
              </w:rPr>
            </w:pPr>
            <w:r w:rsidRPr="00881D79">
              <w:rPr>
                <w:rFonts w:ascii="Arial" w:hAnsi="Arial" w:cs="Arial"/>
                <w:sz w:val="24"/>
                <w:szCs w:val="24"/>
              </w:rPr>
              <w:t>+706</w:t>
            </w:r>
          </w:p>
        </w:tc>
      </w:tr>
      <w:tr w:rsidR="009E2CA8" w:rsidRPr="00881D79" w:rsidTr="00B45F7C">
        <w:tc>
          <w:tcPr>
            <w:tcW w:w="2263" w:type="dxa"/>
          </w:tcPr>
          <w:p w:rsidR="00B45F7C" w:rsidRPr="00881D79" w:rsidRDefault="00A44354" w:rsidP="00B45F7C">
            <w:pPr>
              <w:jc w:val="both"/>
              <w:rPr>
                <w:rFonts w:ascii="Arial" w:hAnsi="Arial" w:cs="Arial"/>
                <w:sz w:val="24"/>
                <w:szCs w:val="24"/>
              </w:rPr>
            </w:pPr>
            <w:r w:rsidRPr="00881D79">
              <w:rPr>
                <w:rFonts w:ascii="Arial" w:hAnsi="Arial" w:cs="Arial"/>
                <w:sz w:val="24"/>
                <w:szCs w:val="24"/>
              </w:rPr>
              <w:t xml:space="preserve">Total number of housing units submitted for planning </w:t>
            </w:r>
          </w:p>
        </w:tc>
        <w:tc>
          <w:tcPr>
            <w:tcW w:w="1276" w:type="dxa"/>
          </w:tcPr>
          <w:p w:rsidR="00B45F7C" w:rsidRPr="00881D79" w:rsidRDefault="00A44354" w:rsidP="00B45F7C">
            <w:pPr>
              <w:tabs>
                <w:tab w:val="left" w:pos="885"/>
              </w:tabs>
              <w:jc w:val="both"/>
              <w:rPr>
                <w:rFonts w:ascii="Arial" w:hAnsi="Arial" w:cs="Arial"/>
                <w:sz w:val="24"/>
                <w:szCs w:val="24"/>
              </w:rPr>
            </w:pPr>
            <w:r w:rsidRPr="00881D79">
              <w:rPr>
                <w:rFonts w:ascii="Arial" w:hAnsi="Arial" w:cs="Arial"/>
                <w:sz w:val="24"/>
                <w:szCs w:val="24"/>
              </w:rPr>
              <w:t>1405</w:t>
            </w:r>
          </w:p>
        </w:tc>
        <w:tc>
          <w:tcPr>
            <w:tcW w:w="1418" w:type="dxa"/>
          </w:tcPr>
          <w:p w:rsidR="00B45F7C" w:rsidRPr="00881D79" w:rsidRDefault="00A44354" w:rsidP="00B45F7C">
            <w:pPr>
              <w:tabs>
                <w:tab w:val="left" w:pos="885"/>
              </w:tabs>
              <w:jc w:val="both"/>
              <w:rPr>
                <w:rFonts w:ascii="Arial" w:hAnsi="Arial" w:cs="Arial"/>
                <w:sz w:val="24"/>
                <w:szCs w:val="24"/>
              </w:rPr>
            </w:pPr>
            <w:r w:rsidRPr="00881D79">
              <w:rPr>
                <w:rFonts w:ascii="Arial" w:hAnsi="Arial" w:cs="Arial"/>
                <w:sz w:val="24"/>
                <w:szCs w:val="24"/>
              </w:rPr>
              <w:t>2836</w:t>
            </w:r>
          </w:p>
        </w:tc>
        <w:tc>
          <w:tcPr>
            <w:tcW w:w="1559" w:type="dxa"/>
          </w:tcPr>
          <w:p w:rsidR="00B45F7C" w:rsidRPr="00881D79" w:rsidRDefault="00A44354" w:rsidP="00B45F7C">
            <w:pPr>
              <w:tabs>
                <w:tab w:val="left" w:pos="885"/>
              </w:tabs>
              <w:jc w:val="both"/>
              <w:rPr>
                <w:rFonts w:ascii="Arial" w:hAnsi="Arial" w:cs="Arial"/>
                <w:sz w:val="24"/>
                <w:szCs w:val="24"/>
              </w:rPr>
            </w:pPr>
            <w:r w:rsidRPr="00881D79">
              <w:rPr>
                <w:rFonts w:ascii="Arial" w:hAnsi="Arial" w:cs="Arial"/>
                <w:sz w:val="24"/>
                <w:szCs w:val="24"/>
              </w:rPr>
              <w:t>13010</w:t>
            </w:r>
          </w:p>
        </w:tc>
        <w:tc>
          <w:tcPr>
            <w:tcW w:w="2500" w:type="dxa"/>
          </w:tcPr>
          <w:p w:rsidR="00B45F7C" w:rsidRPr="00881D79" w:rsidRDefault="00A44354" w:rsidP="00B45F7C">
            <w:pPr>
              <w:tabs>
                <w:tab w:val="left" w:pos="885"/>
              </w:tabs>
              <w:jc w:val="both"/>
              <w:rPr>
                <w:rFonts w:ascii="Arial" w:hAnsi="Arial" w:cs="Arial"/>
                <w:sz w:val="24"/>
                <w:szCs w:val="24"/>
              </w:rPr>
            </w:pPr>
            <w:r w:rsidRPr="00881D79">
              <w:rPr>
                <w:rFonts w:ascii="Arial" w:hAnsi="Arial" w:cs="Arial"/>
                <w:sz w:val="24"/>
                <w:szCs w:val="24"/>
              </w:rPr>
              <w:t>n/a</w:t>
            </w:r>
          </w:p>
        </w:tc>
      </w:tr>
      <w:tr w:rsidR="009E2CA8" w:rsidRPr="00881D79" w:rsidTr="00B45F7C">
        <w:tc>
          <w:tcPr>
            <w:tcW w:w="2263" w:type="dxa"/>
          </w:tcPr>
          <w:p w:rsidR="00B45F7C" w:rsidRPr="00881D79" w:rsidRDefault="00A44354" w:rsidP="00B45F7C">
            <w:pPr>
              <w:jc w:val="both"/>
              <w:rPr>
                <w:rFonts w:ascii="Arial" w:hAnsi="Arial" w:cs="Arial"/>
                <w:sz w:val="24"/>
                <w:szCs w:val="24"/>
              </w:rPr>
            </w:pPr>
            <w:r w:rsidRPr="00881D79">
              <w:rPr>
                <w:rFonts w:ascii="Arial" w:hAnsi="Arial" w:cs="Arial"/>
                <w:sz w:val="24"/>
                <w:szCs w:val="24"/>
              </w:rPr>
              <w:t>Total number of Housing units consented for planning *</w:t>
            </w:r>
          </w:p>
        </w:tc>
        <w:tc>
          <w:tcPr>
            <w:tcW w:w="1276" w:type="dxa"/>
          </w:tcPr>
          <w:p w:rsidR="00B45F7C" w:rsidRPr="00881D79" w:rsidRDefault="00A44354" w:rsidP="00B45F7C">
            <w:pPr>
              <w:jc w:val="both"/>
              <w:rPr>
                <w:rFonts w:ascii="Arial" w:hAnsi="Arial" w:cs="Arial"/>
                <w:sz w:val="24"/>
                <w:szCs w:val="24"/>
              </w:rPr>
            </w:pPr>
            <w:r w:rsidRPr="00881D79">
              <w:rPr>
                <w:rFonts w:ascii="Arial" w:hAnsi="Arial" w:cs="Arial"/>
                <w:sz w:val="24"/>
                <w:szCs w:val="24"/>
              </w:rPr>
              <w:t>1740</w:t>
            </w:r>
          </w:p>
        </w:tc>
        <w:tc>
          <w:tcPr>
            <w:tcW w:w="1418" w:type="dxa"/>
          </w:tcPr>
          <w:p w:rsidR="00B45F7C" w:rsidRPr="00881D79" w:rsidRDefault="00A44354" w:rsidP="00B45F7C">
            <w:pPr>
              <w:jc w:val="both"/>
              <w:rPr>
                <w:rFonts w:ascii="Arial" w:hAnsi="Arial" w:cs="Arial"/>
                <w:sz w:val="24"/>
                <w:szCs w:val="24"/>
              </w:rPr>
            </w:pPr>
            <w:r w:rsidRPr="00881D79">
              <w:rPr>
                <w:rFonts w:ascii="Arial" w:hAnsi="Arial" w:cs="Arial"/>
                <w:sz w:val="24"/>
                <w:szCs w:val="24"/>
              </w:rPr>
              <w:t>2094</w:t>
            </w:r>
          </w:p>
        </w:tc>
        <w:tc>
          <w:tcPr>
            <w:tcW w:w="1559" w:type="dxa"/>
          </w:tcPr>
          <w:p w:rsidR="00B45F7C" w:rsidRPr="00881D79" w:rsidRDefault="00A44354" w:rsidP="00B45F7C">
            <w:pPr>
              <w:jc w:val="both"/>
              <w:rPr>
                <w:rFonts w:ascii="Arial" w:hAnsi="Arial" w:cs="Arial"/>
                <w:sz w:val="24"/>
                <w:szCs w:val="24"/>
              </w:rPr>
            </w:pPr>
            <w:r w:rsidRPr="00881D79">
              <w:rPr>
                <w:rFonts w:ascii="Arial" w:hAnsi="Arial" w:cs="Arial"/>
                <w:sz w:val="24"/>
                <w:szCs w:val="24"/>
              </w:rPr>
              <w:t>12529</w:t>
            </w:r>
          </w:p>
        </w:tc>
        <w:tc>
          <w:tcPr>
            <w:tcW w:w="2500" w:type="dxa"/>
          </w:tcPr>
          <w:p w:rsidR="00B45F7C" w:rsidRPr="00881D79" w:rsidRDefault="00A44354" w:rsidP="00B45F7C">
            <w:pPr>
              <w:jc w:val="both"/>
              <w:rPr>
                <w:rFonts w:ascii="Arial" w:hAnsi="Arial" w:cs="Arial"/>
                <w:sz w:val="24"/>
                <w:szCs w:val="24"/>
              </w:rPr>
            </w:pPr>
            <w:r w:rsidRPr="00881D79">
              <w:rPr>
                <w:rFonts w:ascii="Arial" w:hAnsi="Arial" w:cs="Arial"/>
                <w:sz w:val="24"/>
                <w:szCs w:val="24"/>
              </w:rPr>
              <w:t>n/a</w:t>
            </w:r>
          </w:p>
        </w:tc>
      </w:tr>
      <w:tr w:rsidR="009E2CA8" w:rsidRPr="00881D79" w:rsidTr="00B45F7C">
        <w:tc>
          <w:tcPr>
            <w:tcW w:w="2263" w:type="dxa"/>
          </w:tcPr>
          <w:p w:rsidR="00B45F7C" w:rsidRPr="00881D79" w:rsidRDefault="00A44354" w:rsidP="00B45F7C">
            <w:pPr>
              <w:jc w:val="both"/>
              <w:rPr>
                <w:rFonts w:ascii="Arial" w:hAnsi="Arial" w:cs="Arial"/>
                <w:sz w:val="24"/>
                <w:szCs w:val="24"/>
              </w:rPr>
            </w:pPr>
            <w:r w:rsidRPr="00881D79">
              <w:rPr>
                <w:rFonts w:ascii="Arial" w:hAnsi="Arial" w:cs="Arial"/>
                <w:sz w:val="24"/>
                <w:szCs w:val="24"/>
              </w:rPr>
              <w:t>sites at which construction is actively taking place</w:t>
            </w:r>
          </w:p>
        </w:tc>
        <w:tc>
          <w:tcPr>
            <w:tcW w:w="1276" w:type="dxa"/>
          </w:tcPr>
          <w:p w:rsidR="00B45F7C" w:rsidRPr="00881D79" w:rsidRDefault="00A44354" w:rsidP="00B45F7C">
            <w:pPr>
              <w:tabs>
                <w:tab w:val="left" w:pos="885"/>
              </w:tabs>
              <w:jc w:val="both"/>
              <w:rPr>
                <w:rFonts w:ascii="Arial" w:hAnsi="Arial" w:cs="Arial"/>
                <w:sz w:val="24"/>
                <w:szCs w:val="24"/>
              </w:rPr>
            </w:pPr>
            <w:r w:rsidRPr="00881D79">
              <w:rPr>
                <w:rFonts w:ascii="Arial" w:hAnsi="Arial" w:cs="Arial"/>
                <w:sz w:val="24"/>
                <w:szCs w:val="24"/>
              </w:rPr>
              <w:t>-</w:t>
            </w:r>
          </w:p>
          <w:p w:rsidR="00B45F7C" w:rsidRPr="00881D79" w:rsidRDefault="003E7C2A" w:rsidP="00B45F7C">
            <w:pPr>
              <w:tabs>
                <w:tab w:val="left" w:pos="885"/>
              </w:tabs>
              <w:jc w:val="both"/>
              <w:rPr>
                <w:rFonts w:ascii="Arial" w:hAnsi="Arial" w:cs="Arial"/>
                <w:sz w:val="24"/>
                <w:szCs w:val="24"/>
              </w:rPr>
            </w:pPr>
          </w:p>
        </w:tc>
        <w:tc>
          <w:tcPr>
            <w:tcW w:w="1418" w:type="dxa"/>
          </w:tcPr>
          <w:p w:rsidR="00B45F7C" w:rsidRPr="00881D79" w:rsidRDefault="00A44354" w:rsidP="00B45F7C">
            <w:pPr>
              <w:tabs>
                <w:tab w:val="left" w:pos="885"/>
              </w:tabs>
              <w:jc w:val="both"/>
              <w:rPr>
                <w:rFonts w:ascii="Arial" w:hAnsi="Arial" w:cs="Arial"/>
                <w:sz w:val="24"/>
                <w:szCs w:val="24"/>
              </w:rPr>
            </w:pPr>
            <w:r w:rsidRPr="00881D79">
              <w:rPr>
                <w:rFonts w:ascii="Arial" w:hAnsi="Arial" w:cs="Arial"/>
                <w:sz w:val="24"/>
                <w:szCs w:val="24"/>
              </w:rPr>
              <w:t>32</w:t>
            </w:r>
          </w:p>
          <w:p w:rsidR="00B45F7C" w:rsidRPr="00881D79" w:rsidRDefault="003E7C2A" w:rsidP="00B45F7C">
            <w:pPr>
              <w:tabs>
                <w:tab w:val="left" w:pos="885"/>
              </w:tabs>
              <w:jc w:val="both"/>
              <w:rPr>
                <w:rFonts w:ascii="Arial" w:hAnsi="Arial" w:cs="Arial"/>
                <w:sz w:val="24"/>
                <w:szCs w:val="24"/>
              </w:rPr>
            </w:pPr>
          </w:p>
          <w:p w:rsidR="00B45F7C" w:rsidRPr="00881D79" w:rsidRDefault="003E7C2A" w:rsidP="00B45F7C">
            <w:pPr>
              <w:tabs>
                <w:tab w:val="left" w:pos="885"/>
              </w:tabs>
              <w:jc w:val="both"/>
              <w:rPr>
                <w:rFonts w:ascii="Arial" w:hAnsi="Arial" w:cs="Arial"/>
                <w:sz w:val="24"/>
                <w:szCs w:val="24"/>
              </w:rPr>
            </w:pPr>
          </w:p>
        </w:tc>
        <w:tc>
          <w:tcPr>
            <w:tcW w:w="1559" w:type="dxa"/>
          </w:tcPr>
          <w:p w:rsidR="00B45F7C" w:rsidRPr="00881D79" w:rsidRDefault="003E7C2A" w:rsidP="00B45F7C">
            <w:pPr>
              <w:tabs>
                <w:tab w:val="left" w:pos="885"/>
              </w:tabs>
              <w:jc w:val="both"/>
              <w:rPr>
                <w:rFonts w:ascii="Arial" w:hAnsi="Arial" w:cs="Arial"/>
                <w:sz w:val="24"/>
                <w:szCs w:val="24"/>
              </w:rPr>
            </w:pPr>
          </w:p>
        </w:tc>
        <w:tc>
          <w:tcPr>
            <w:tcW w:w="2500" w:type="dxa"/>
          </w:tcPr>
          <w:p w:rsidR="00B45F7C" w:rsidRPr="00881D79" w:rsidRDefault="00A44354" w:rsidP="00B45F7C">
            <w:pPr>
              <w:tabs>
                <w:tab w:val="left" w:pos="885"/>
              </w:tabs>
              <w:jc w:val="both"/>
              <w:rPr>
                <w:rFonts w:ascii="Arial" w:hAnsi="Arial" w:cs="Arial"/>
                <w:sz w:val="24"/>
                <w:szCs w:val="24"/>
              </w:rPr>
            </w:pPr>
            <w:r w:rsidRPr="00881D79">
              <w:rPr>
                <w:rFonts w:ascii="Arial" w:hAnsi="Arial" w:cs="Arial"/>
                <w:sz w:val="24"/>
                <w:szCs w:val="24"/>
              </w:rPr>
              <w:t>n/a</w:t>
            </w:r>
          </w:p>
        </w:tc>
      </w:tr>
    </w:tbl>
    <w:p w:rsidR="00B45F7C" w:rsidRPr="00881D79" w:rsidRDefault="00A44354" w:rsidP="00B45F7C">
      <w:pPr>
        <w:spacing w:after="0" w:line="240" w:lineRule="auto"/>
        <w:ind w:left="360"/>
        <w:jc w:val="both"/>
        <w:rPr>
          <w:rFonts w:ascii="Arial" w:hAnsi="Arial" w:cs="Arial"/>
          <w:sz w:val="24"/>
          <w:szCs w:val="24"/>
        </w:rPr>
      </w:pPr>
      <w:r w:rsidRPr="00881D79">
        <w:rPr>
          <w:rFonts w:ascii="Arial" w:hAnsi="Arial" w:cs="Arial"/>
          <w:sz w:val="24"/>
          <w:szCs w:val="24"/>
        </w:rPr>
        <w:t>*</w:t>
      </w:r>
      <w:r w:rsidRPr="00881D79">
        <w:rPr>
          <w:rFonts w:ascii="Arial" w:hAnsi="Arial" w:cs="Arial"/>
          <w:sz w:val="24"/>
          <w:szCs w:val="24"/>
        </w:rPr>
        <w:tab/>
        <w:t xml:space="preserve">Includes Outline and Full Planning consent </w:t>
      </w:r>
    </w:p>
    <w:p w:rsidR="00B45F7C" w:rsidRPr="00881D79" w:rsidRDefault="00A44354" w:rsidP="00B45F7C">
      <w:pPr>
        <w:spacing w:after="0" w:line="240" w:lineRule="auto"/>
        <w:ind w:left="360"/>
        <w:jc w:val="both"/>
        <w:rPr>
          <w:rFonts w:ascii="Arial" w:hAnsi="Arial" w:cs="Arial"/>
          <w:sz w:val="24"/>
          <w:szCs w:val="24"/>
        </w:rPr>
      </w:pPr>
      <w:r w:rsidRPr="00881D79">
        <w:rPr>
          <w:rFonts w:ascii="Arial" w:hAnsi="Arial" w:cs="Arial"/>
          <w:sz w:val="24"/>
          <w:szCs w:val="24"/>
        </w:rPr>
        <w:t>Targets relate to Keppie Massie trajectory 2016</w:t>
      </w:r>
    </w:p>
    <w:p w:rsidR="00B45F7C" w:rsidRPr="00881D79" w:rsidRDefault="00A44354" w:rsidP="00B45F7C">
      <w:pPr>
        <w:spacing w:after="0" w:line="240" w:lineRule="auto"/>
        <w:ind w:left="360"/>
        <w:jc w:val="both"/>
        <w:rPr>
          <w:rFonts w:ascii="Arial" w:hAnsi="Arial" w:cs="Arial"/>
          <w:sz w:val="24"/>
          <w:szCs w:val="24"/>
        </w:rPr>
      </w:pPr>
      <w:r w:rsidRPr="00881D79">
        <w:rPr>
          <w:rFonts w:ascii="Arial" w:hAnsi="Arial" w:cs="Arial"/>
          <w:sz w:val="24"/>
          <w:szCs w:val="24"/>
        </w:rPr>
        <w:t xml:space="preserve">Following a recent reconciliation exercise the total completions to date includes adjusted figures to those previously reported.  </w:t>
      </w:r>
    </w:p>
    <w:p w:rsidR="00B45F7C" w:rsidRPr="00881D79" w:rsidRDefault="003E7C2A" w:rsidP="00B45F7C">
      <w:pPr>
        <w:spacing w:after="0" w:line="240" w:lineRule="auto"/>
        <w:jc w:val="both"/>
        <w:rPr>
          <w:rFonts w:ascii="Arial" w:hAnsi="Arial" w:cs="Arial"/>
          <w:b/>
          <w:sz w:val="24"/>
          <w:szCs w:val="24"/>
        </w:rPr>
      </w:pPr>
    </w:p>
    <w:p w:rsidR="00B45F7C" w:rsidRPr="00881D79" w:rsidRDefault="00A44354" w:rsidP="00B45F7C">
      <w:pPr>
        <w:spacing w:after="0" w:line="240" w:lineRule="auto"/>
        <w:jc w:val="both"/>
        <w:rPr>
          <w:rFonts w:ascii="Arial" w:hAnsi="Arial" w:cs="Arial"/>
          <w:b/>
          <w:sz w:val="24"/>
          <w:szCs w:val="24"/>
        </w:rPr>
      </w:pPr>
      <w:r w:rsidRPr="00881D79">
        <w:rPr>
          <w:rFonts w:ascii="Arial" w:hAnsi="Arial" w:cs="Arial"/>
          <w:b/>
          <w:sz w:val="24"/>
          <w:szCs w:val="24"/>
        </w:rPr>
        <w:br w:type="page"/>
      </w:r>
    </w:p>
    <w:p w:rsidR="00B45F7C" w:rsidRPr="00881D79" w:rsidRDefault="00A44354" w:rsidP="00B45F7C">
      <w:pPr>
        <w:spacing w:after="0" w:line="240" w:lineRule="auto"/>
        <w:jc w:val="both"/>
        <w:rPr>
          <w:rFonts w:ascii="Arial" w:hAnsi="Arial" w:cs="Arial"/>
          <w:sz w:val="24"/>
          <w:szCs w:val="24"/>
        </w:rPr>
      </w:pPr>
      <w:r w:rsidRPr="00881D79">
        <w:rPr>
          <w:rFonts w:ascii="Arial" w:hAnsi="Arial" w:cs="Arial"/>
          <w:sz w:val="24"/>
          <w:szCs w:val="24"/>
        </w:rPr>
        <w:lastRenderedPageBreak/>
        <w:t>Focussing upon the key Homes England sites, progress has been made against the following key milestones in 2017/18:</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B45F7C">
      <w:pPr>
        <w:spacing w:after="0" w:line="240" w:lineRule="auto"/>
        <w:jc w:val="both"/>
        <w:rPr>
          <w:rFonts w:ascii="Arial" w:hAnsi="Arial" w:cs="Arial"/>
          <w:b/>
          <w:sz w:val="24"/>
          <w:szCs w:val="24"/>
          <w:u w:val="single"/>
        </w:rPr>
      </w:pPr>
      <w:r w:rsidRPr="00881D79">
        <w:rPr>
          <w:rFonts w:ascii="Arial" w:hAnsi="Arial" w:cs="Arial"/>
          <w:b/>
          <w:sz w:val="24"/>
          <w:szCs w:val="24"/>
          <w:u w:val="single"/>
        </w:rPr>
        <w:t xml:space="preserve">Table 2 – Supporting outputs for Homes England sites: </w:t>
      </w:r>
    </w:p>
    <w:p w:rsidR="00B45F7C" w:rsidRPr="00881D79" w:rsidRDefault="003E7C2A" w:rsidP="00B45F7C">
      <w:pPr>
        <w:spacing w:after="0" w:line="240" w:lineRule="auto"/>
        <w:jc w:val="both"/>
        <w:rPr>
          <w:rFonts w:ascii="Arial" w:hAnsi="Arial" w:cs="Arial"/>
          <w:b/>
          <w:sz w:val="24"/>
          <w:szCs w:val="24"/>
          <w:u w:val="single"/>
        </w:rPr>
      </w:pPr>
    </w:p>
    <w:tbl>
      <w:tblPr>
        <w:tblW w:w="6067" w:type="pct"/>
        <w:tblInd w:w="-1008" w:type="dxa"/>
        <w:tblLayout w:type="fixed"/>
        <w:tblLook w:val="0000" w:firstRow="0" w:lastRow="0" w:firstColumn="0" w:lastColumn="0" w:noHBand="0" w:noVBand="0"/>
      </w:tblPr>
      <w:tblGrid>
        <w:gridCol w:w="1419"/>
        <w:gridCol w:w="850"/>
        <w:gridCol w:w="851"/>
        <w:gridCol w:w="850"/>
        <w:gridCol w:w="851"/>
        <w:gridCol w:w="850"/>
        <w:gridCol w:w="992"/>
        <w:gridCol w:w="1418"/>
        <w:gridCol w:w="1417"/>
        <w:gridCol w:w="1418"/>
      </w:tblGrid>
      <w:tr w:rsidR="00881D79" w:rsidRPr="00881D79" w:rsidTr="00881D79">
        <w:trPr>
          <w:trHeight w:val="1438"/>
        </w:trPr>
        <w:tc>
          <w:tcPr>
            <w:tcW w:w="1419" w:type="dxa"/>
            <w:tcBorders>
              <w:top w:val="single" w:sz="12" w:space="0" w:color="auto"/>
              <w:left w:val="single" w:sz="12" w:space="0" w:color="auto"/>
              <w:bottom w:val="nil"/>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b/>
                <w:bCs/>
                <w:color w:val="000000"/>
                <w:sz w:val="20"/>
                <w:szCs w:val="20"/>
              </w:rPr>
            </w:pPr>
            <w:r w:rsidRPr="00881D79">
              <w:rPr>
                <w:rFonts w:ascii="Arial" w:hAnsi="Arial" w:cs="Arial"/>
                <w:b/>
                <w:bCs/>
                <w:color w:val="000000"/>
                <w:sz w:val="20"/>
                <w:szCs w:val="20"/>
              </w:rPr>
              <w:t xml:space="preserve">Supporting output </w:t>
            </w:r>
          </w:p>
        </w:tc>
        <w:tc>
          <w:tcPr>
            <w:tcW w:w="850" w:type="dxa"/>
            <w:tcBorders>
              <w:top w:val="single" w:sz="12" w:space="0" w:color="auto"/>
              <w:left w:val="single" w:sz="4" w:space="0" w:color="auto"/>
              <w:bottom w:val="nil"/>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b/>
                <w:bCs/>
                <w:color w:val="000000"/>
                <w:sz w:val="20"/>
                <w:szCs w:val="20"/>
              </w:rPr>
            </w:pPr>
            <w:r w:rsidRPr="00881D79">
              <w:rPr>
                <w:rFonts w:ascii="Arial" w:hAnsi="Arial" w:cs="Arial"/>
                <w:b/>
                <w:bCs/>
                <w:color w:val="000000"/>
                <w:sz w:val="20"/>
                <w:szCs w:val="20"/>
              </w:rPr>
              <w:t>14/15</w:t>
            </w:r>
          </w:p>
        </w:tc>
        <w:tc>
          <w:tcPr>
            <w:tcW w:w="851" w:type="dxa"/>
            <w:tcBorders>
              <w:top w:val="single" w:sz="12" w:space="0" w:color="auto"/>
              <w:left w:val="nil"/>
              <w:bottom w:val="nil"/>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b/>
                <w:bCs/>
                <w:color w:val="000000"/>
                <w:sz w:val="20"/>
                <w:szCs w:val="20"/>
              </w:rPr>
            </w:pPr>
            <w:r w:rsidRPr="00881D79">
              <w:rPr>
                <w:rFonts w:ascii="Arial" w:hAnsi="Arial" w:cs="Arial"/>
                <w:b/>
                <w:bCs/>
                <w:color w:val="000000"/>
                <w:sz w:val="20"/>
                <w:szCs w:val="20"/>
              </w:rPr>
              <w:t>14/15</w:t>
            </w:r>
          </w:p>
        </w:tc>
        <w:tc>
          <w:tcPr>
            <w:tcW w:w="850" w:type="dxa"/>
            <w:tcBorders>
              <w:top w:val="single" w:sz="12" w:space="0" w:color="auto"/>
              <w:left w:val="nil"/>
              <w:bottom w:val="nil"/>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b/>
                <w:bCs/>
                <w:color w:val="000000"/>
                <w:sz w:val="20"/>
                <w:szCs w:val="20"/>
              </w:rPr>
            </w:pPr>
            <w:r w:rsidRPr="00881D79">
              <w:rPr>
                <w:rFonts w:ascii="Arial" w:hAnsi="Arial" w:cs="Arial"/>
                <w:b/>
                <w:bCs/>
                <w:color w:val="000000"/>
                <w:sz w:val="20"/>
                <w:szCs w:val="20"/>
              </w:rPr>
              <w:t>15/16</w:t>
            </w:r>
          </w:p>
        </w:tc>
        <w:tc>
          <w:tcPr>
            <w:tcW w:w="851" w:type="dxa"/>
            <w:tcBorders>
              <w:top w:val="single" w:sz="12" w:space="0" w:color="auto"/>
              <w:left w:val="single" w:sz="12" w:space="0" w:color="auto"/>
              <w:bottom w:val="nil"/>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b/>
                <w:bCs/>
                <w:color w:val="000000"/>
                <w:sz w:val="20"/>
                <w:szCs w:val="20"/>
              </w:rPr>
            </w:pPr>
            <w:r w:rsidRPr="00881D79">
              <w:rPr>
                <w:rFonts w:ascii="Arial" w:hAnsi="Arial" w:cs="Arial"/>
                <w:b/>
                <w:bCs/>
                <w:color w:val="000000"/>
                <w:sz w:val="20"/>
                <w:szCs w:val="20"/>
              </w:rPr>
              <w:t>15/16 Actual</w:t>
            </w:r>
          </w:p>
        </w:tc>
        <w:tc>
          <w:tcPr>
            <w:tcW w:w="850" w:type="dxa"/>
            <w:tcBorders>
              <w:top w:val="single" w:sz="12" w:space="0" w:color="auto"/>
              <w:left w:val="single" w:sz="12" w:space="0" w:color="auto"/>
              <w:bottom w:val="nil"/>
              <w:right w:val="single" w:sz="12" w:space="0" w:color="auto"/>
            </w:tcBorders>
            <w:shd w:val="clear" w:color="auto" w:fill="auto"/>
          </w:tcPr>
          <w:p w:rsidR="00B45F7C" w:rsidRPr="00881D79" w:rsidRDefault="00A44354" w:rsidP="00B45F7C">
            <w:pPr>
              <w:autoSpaceDE w:val="0"/>
              <w:autoSpaceDN w:val="0"/>
              <w:adjustRightInd w:val="0"/>
              <w:spacing w:after="0" w:line="240" w:lineRule="auto"/>
              <w:jc w:val="both"/>
              <w:rPr>
                <w:rFonts w:ascii="Arial" w:hAnsi="Arial" w:cs="Arial"/>
                <w:b/>
                <w:bCs/>
                <w:color w:val="000000"/>
                <w:sz w:val="20"/>
                <w:szCs w:val="20"/>
              </w:rPr>
            </w:pPr>
            <w:r w:rsidRPr="00881D79">
              <w:rPr>
                <w:rFonts w:ascii="Arial" w:hAnsi="Arial" w:cs="Arial"/>
                <w:b/>
                <w:bCs/>
                <w:color w:val="000000"/>
                <w:sz w:val="20"/>
                <w:szCs w:val="20"/>
              </w:rPr>
              <w:t>16/17 Target</w:t>
            </w:r>
          </w:p>
        </w:tc>
        <w:tc>
          <w:tcPr>
            <w:tcW w:w="992" w:type="dxa"/>
            <w:tcBorders>
              <w:top w:val="single" w:sz="12" w:space="0" w:color="auto"/>
              <w:left w:val="single" w:sz="12" w:space="0" w:color="auto"/>
              <w:bottom w:val="nil"/>
              <w:right w:val="single" w:sz="12" w:space="0" w:color="auto"/>
            </w:tcBorders>
            <w:shd w:val="clear" w:color="auto" w:fill="auto"/>
          </w:tcPr>
          <w:p w:rsidR="00B45F7C" w:rsidRPr="00881D79" w:rsidRDefault="00A44354" w:rsidP="00B45F7C">
            <w:pPr>
              <w:autoSpaceDE w:val="0"/>
              <w:autoSpaceDN w:val="0"/>
              <w:adjustRightInd w:val="0"/>
              <w:spacing w:after="0" w:line="240" w:lineRule="auto"/>
              <w:jc w:val="both"/>
              <w:rPr>
                <w:rFonts w:ascii="Arial" w:hAnsi="Arial" w:cs="Arial"/>
                <w:b/>
                <w:bCs/>
                <w:color w:val="000000"/>
                <w:sz w:val="20"/>
                <w:szCs w:val="20"/>
              </w:rPr>
            </w:pPr>
            <w:r w:rsidRPr="00881D79">
              <w:rPr>
                <w:rFonts w:ascii="Arial" w:hAnsi="Arial" w:cs="Arial"/>
                <w:b/>
                <w:bCs/>
                <w:color w:val="000000"/>
                <w:sz w:val="20"/>
                <w:szCs w:val="20"/>
              </w:rPr>
              <w:t>16/17 Actual</w:t>
            </w:r>
          </w:p>
        </w:tc>
        <w:tc>
          <w:tcPr>
            <w:tcW w:w="1418" w:type="dxa"/>
            <w:tcBorders>
              <w:top w:val="single" w:sz="12" w:space="0" w:color="auto"/>
              <w:left w:val="single" w:sz="12" w:space="0" w:color="auto"/>
              <w:bottom w:val="nil"/>
              <w:right w:val="single" w:sz="12" w:space="0" w:color="auto"/>
            </w:tcBorders>
            <w:shd w:val="clear" w:color="auto" w:fill="F2DBDB" w:themeFill="accent2" w:themeFillTint="33"/>
          </w:tcPr>
          <w:p w:rsidR="00B45F7C" w:rsidRPr="00881D79" w:rsidRDefault="00A44354" w:rsidP="00B45F7C">
            <w:pPr>
              <w:autoSpaceDE w:val="0"/>
              <w:autoSpaceDN w:val="0"/>
              <w:adjustRightInd w:val="0"/>
              <w:spacing w:after="0" w:line="240" w:lineRule="auto"/>
              <w:jc w:val="both"/>
              <w:rPr>
                <w:rFonts w:ascii="Arial" w:hAnsi="Arial" w:cs="Arial"/>
                <w:b/>
                <w:bCs/>
                <w:color w:val="000000"/>
                <w:sz w:val="20"/>
                <w:szCs w:val="20"/>
              </w:rPr>
            </w:pPr>
            <w:r w:rsidRPr="00881D79">
              <w:rPr>
                <w:rFonts w:ascii="Arial" w:hAnsi="Arial" w:cs="Arial"/>
                <w:b/>
                <w:bCs/>
                <w:color w:val="000000"/>
                <w:sz w:val="20"/>
                <w:szCs w:val="20"/>
              </w:rPr>
              <w:t>17/18 Target</w:t>
            </w:r>
          </w:p>
        </w:tc>
        <w:tc>
          <w:tcPr>
            <w:tcW w:w="1417" w:type="dxa"/>
            <w:tcBorders>
              <w:top w:val="single" w:sz="12" w:space="0" w:color="auto"/>
              <w:left w:val="single" w:sz="12" w:space="0" w:color="auto"/>
              <w:bottom w:val="nil"/>
              <w:right w:val="single" w:sz="12" w:space="0" w:color="auto"/>
            </w:tcBorders>
            <w:shd w:val="clear" w:color="auto" w:fill="F2DBDB" w:themeFill="accent2" w:themeFillTint="33"/>
          </w:tcPr>
          <w:p w:rsidR="00B45F7C" w:rsidRPr="00881D79" w:rsidRDefault="00A44354" w:rsidP="00B45F7C">
            <w:pPr>
              <w:autoSpaceDE w:val="0"/>
              <w:autoSpaceDN w:val="0"/>
              <w:adjustRightInd w:val="0"/>
              <w:spacing w:after="0" w:line="240" w:lineRule="auto"/>
              <w:jc w:val="both"/>
              <w:rPr>
                <w:rFonts w:ascii="Arial" w:hAnsi="Arial" w:cs="Arial"/>
                <w:b/>
                <w:bCs/>
                <w:color w:val="000000"/>
                <w:sz w:val="20"/>
                <w:szCs w:val="20"/>
              </w:rPr>
            </w:pPr>
            <w:r w:rsidRPr="00881D79">
              <w:rPr>
                <w:rFonts w:ascii="Arial" w:hAnsi="Arial" w:cs="Arial"/>
                <w:b/>
                <w:bCs/>
                <w:color w:val="000000"/>
                <w:sz w:val="20"/>
                <w:szCs w:val="20"/>
              </w:rPr>
              <w:t>17/18 Actual</w:t>
            </w:r>
          </w:p>
        </w:tc>
        <w:tc>
          <w:tcPr>
            <w:tcW w:w="1418" w:type="dxa"/>
            <w:tcBorders>
              <w:top w:val="single" w:sz="12" w:space="0" w:color="auto"/>
              <w:left w:val="single" w:sz="12" w:space="0" w:color="auto"/>
              <w:bottom w:val="nil"/>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b/>
                <w:bCs/>
                <w:color w:val="000000"/>
                <w:sz w:val="20"/>
                <w:szCs w:val="20"/>
              </w:rPr>
            </w:pPr>
            <w:r w:rsidRPr="00881D79">
              <w:rPr>
                <w:rFonts w:ascii="Arial" w:hAnsi="Arial" w:cs="Arial"/>
                <w:b/>
                <w:bCs/>
                <w:color w:val="000000"/>
                <w:sz w:val="20"/>
                <w:szCs w:val="20"/>
              </w:rPr>
              <w:t>All Years Cumulative Variance</w:t>
            </w:r>
          </w:p>
        </w:tc>
      </w:tr>
      <w:tr w:rsidR="00881D79" w:rsidRPr="00881D79" w:rsidTr="00881D79">
        <w:trPr>
          <w:trHeight w:val="305"/>
        </w:trPr>
        <w:tc>
          <w:tcPr>
            <w:tcW w:w="1419" w:type="dxa"/>
            <w:tcBorders>
              <w:top w:val="nil"/>
              <w:left w:val="single" w:sz="12" w:space="0" w:color="auto"/>
              <w:bottom w:val="single" w:sz="12" w:space="0" w:color="auto"/>
              <w:right w:val="single" w:sz="12" w:space="0" w:color="auto"/>
            </w:tcBorders>
          </w:tcPr>
          <w:p w:rsidR="00B45F7C" w:rsidRPr="00881D79" w:rsidRDefault="003E7C2A" w:rsidP="00B45F7C">
            <w:pPr>
              <w:autoSpaceDE w:val="0"/>
              <w:autoSpaceDN w:val="0"/>
              <w:adjustRightInd w:val="0"/>
              <w:spacing w:after="0" w:line="240" w:lineRule="auto"/>
              <w:jc w:val="both"/>
              <w:rPr>
                <w:rFonts w:ascii="Arial" w:hAnsi="Arial" w:cs="Arial"/>
                <w:b/>
                <w:bCs/>
                <w:color w:val="000000"/>
                <w:sz w:val="20"/>
                <w:szCs w:val="20"/>
              </w:rPr>
            </w:pPr>
          </w:p>
        </w:tc>
        <w:tc>
          <w:tcPr>
            <w:tcW w:w="850" w:type="dxa"/>
            <w:tcBorders>
              <w:top w:val="nil"/>
              <w:left w:val="single" w:sz="4" w:space="0" w:color="auto"/>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b/>
                <w:bCs/>
                <w:color w:val="000000"/>
                <w:sz w:val="20"/>
                <w:szCs w:val="20"/>
              </w:rPr>
            </w:pPr>
            <w:r w:rsidRPr="00881D79">
              <w:rPr>
                <w:rFonts w:ascii="Arial" w:hAnsi="Arial" w:cs="Arial"/>
                <w:b/>
                <w:bCs/>
                <w:color w:val="000000"/>
                <w:sz w:val="20"/>
                <w:szCs w:val="20"/>
              </w:rPr>
              <w:t>Target</w:t>
            </w:r>
          </w:p>
        </w:tc>
        <w:tc>
          <w:tcPr>
            <w:tcW w:w="851" w:type="dxa"/>
            <w:tcBorders>
              <w:top w:val="nil"/>
              <w:left w:val="nil"/>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b/>
                <w:bCs/>
                <w:color w:val="000000"/>
                <w:sz w:val="20"/>
                <w:szCs w:val="20"/>
              </w:rPr>
            </w:pPr>
            <w:r w:rsidRPr="00881D79">
              <w:rPr>
                <w:rFonts w:ascii="Arial" w:hAnsi="Arial" w:cs="Arial"/>
                <w:b/>
                <w:bCs/>
                <w:color w:val="000000"/>
                <w:sz w:val="20"/>
                <w:szCs w:val="20"/>
              </w:rPr>
              <w:t>Actual</w:t>
            </w:r>
          </w:p>
        </w:tc>
        <w:tc>
          <w:tcPr>
            <w:tcW w:w="850" w:type="dxa"/>
            <w:tcBorders>
              <w:top w:val="nil"/>
              <w:left w:val="nil"/>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b/>
                <w:bCs/>
                <w:color w:val="000000"/>
                <w:sz w:val="20"/>
                <w:szCs w:val="20"/>
              </w:rPr>
            </w:pPr>
            <w:r w:rsidRPr="00881D79">
              <w:rPr>
                <w:rFonts w:ascii="Arial" w:hAnsi="Arial" w:cs="Arial"/>
                <w:b/>
                <w:bCs/>
                <w:color w:val="000000"/>
                <w:sz w:val="20"/>
                <w:szCs w:val="20"/>
              </w:rPr>
              <w:t>Target</w:t>
            </w:r>
          </w:p>
        </w:tc>
        <w:tc>
          <w:tcPr>
            <w:tcW w:w="851" w:type="dxa"/>
            <w:tcBorders>
              <w:top w:val="nil"/>
              <w:left w:val="single" w:sz="12" w:space="0" w:color="auto"/>
              <w:bottom w:val="single" w:sz="12" w:space="0" w:color="auto"/>
              <w:right w:val="single" w:sz="12" w:space="0" w:color="auto"/>
            </w:tcBorders>
          </w:tcPr>
          <w:p w:rsidR="00B45F7C" w:rsidRPr="00881D79" w:rsidRDefault="003E7C2A" w:rsidP="00B45F7C">
            <w:pPr>
              <w:autoSpaceDE w:val="0"/>
              <w:autoSpaceDN w:val="0"/>
              <w:adjustRightInd w:val="0"/>
              <w:spacing w:after="0" w:line="240" w:lineRule="auto"/>
              <w:jc w:val="both"/>
              <w:rPr>
                <w:rFonts w:ascii="Arial" w:hAnsi="Arial" w:cs="Arial"/>
                <w:b/>
                <w:bCs/>
                <w:color w:val="000000"/>
                <w:sz w:val="20"/>
                <w:szCs w:val="20"/>
              </w:rPr>
            </w:pPr>
          </w:p>
        </w:tc>
        <w:tc>
          <w:tcPr>
            <w:tcW w:w="850" w:type="dxa"/>
            <w:tcBorders>
              <w:top w:val="nil"/>
              <w:left w:val="single" w:sz="12" w:space="0" w:color="auto"/>
              <w:bottom w:val="single" w:sz="12" w:space="0" w:color="auto"/>
              <w:right w:val="single" w:sz="12" w:space="0" w:color="auto"/>
            </w:tcBorders>
            <w:shd w:val="clear" w:color="auto" w:fill="auto"/>
          </w:tcPr>
          <w:p w:rsidR="00B45F7C" w:rsidRPr="00881D79" w:rsidRDefault="003E7C2A" w:rsidP="00B45F7C">
            <w:pPr>
              <w:autoSpaceDE w:val="0"/>
              <w:autoSpaceDN w:val="0"/>
              <w:adjustRightInd w:val="0"/>
              <w:spacing w:after="0" w:line="240" w:lineRule="auto"/>
              <w:jc w:val="both"/>
              <w:rPr>
                <w:rFonts w:ascii="Arial" w:hAnsi="Arial" w:cs="Arial"/>
                <w:b/>
                <w:bCs/>
                <w:color w:val="000000"/>
                <w:sz w:val="20"/>
                <w:szCs w:val="20"/>
              </w:rPr>
            </w:pPr>
          </w:p>
        </w:tc>
        <w:tc>
          <w:tcPr>
            <w:tcW w:w="992" w:type="dxa"/>
            <w:tcBorders>
              <w:top w:val="nil"/>
              <w:left w:val="single" w:sz="12" w:space="0" w:color="auto"/>
              <w:bottom w:val="single" w:sz="12" w:space="0" w:color="auto"/>
              <w:right w:val="single" w:sz="12" w:space="0" w:color="auto"/>
            </w:tcBorders>
            <w:shd w:val="clear" w:color="auto" w:fill="auto"/>
          </w:tcPr>
          <w:p w:rsidR="00B45F7C" w:rsidRPr="00881D79" w:rsidRDefault="003E7C2A" w:rsidP="00B45F7C">
            <w:pPr>
              <w:autoSpaceDE w:val="0"/>
              <w:autoSpaceDN w:val="0"/>
              <w:adjustRightInd w:val="0"/>
              <w:spacing w:after="0" w:line="240" w:lineRule="auto"/>
              <w:jc w:val="both"/>
              <w:rPr>
                <w:rFonts w:ascii="Arial" w:hAnsi="Arial" w:cs="Arial"/>
                <w:b/>
                <w:bCs/>
                <w:color w:val="000000"/>
                <w:sz w:val="20"/>
                <w:szCs w:val="20"/>
              </w:rPr>
            </w:pPr>
          </w:p>
        </w:tc>
        <w:tc>
          <w:tcPr>
            <w:tcW w:w="1418" w:type="dxa"/>
            <w:tcBorders>
              <w:top w:val="nil"/>
              <w:left w:val="single" w:sz="12" w:space="0" w:color="auto"/>
              <w:bottom w:val="single" w:sz="12" w:space="0" w:color="auto"/>
              <w:right w:val="single" w:sz="12" w:space="0" w:color="auto"/>
            </w:tcBorders>
            <w:shd w:val="clear" w:color="auto" w:fill="F2DBDB" w:themeFill="accent2" w:themeFillTint="33"/>
          </w:tcPr>
          <w:p w:rsidR="00B45F7C" w:rsidRPr="00881D79" w:rsidRDefault="003E7C2A" w:rsidP="00B45F7C">
            <w:pPr>
              <w:autoSpaceDE w:val="0"/>
              <w:autoSpaceDN w:val="0"/>
              <w:adjustRightInd w:val="0"/>
              <w:spacing w:after="0" w:line="240" w:lineRule="auto"/>
              <w:jc w:val="both"/>
              <w:rPr>
                <w:rFonts w:ascii="Arial" w:hAnsi="Arial" w:cs="Arial"/>
                <w:b/>
                <w:bCs/>
                <w:color w:val="000000"/>
                <w:sz w:val="20"/>
                <w:szCs w:val="20"/>
              </w:rPr>
            </w:pPr>
          </w:p>
        </w:tc>
        <w:tc>
          <w:tcPr>
            <w:tcW w:w="1417" w:type="dxa"/>
            <w:tcBorders>
              <w:top w:val="nil"/>
              <w:left w:val="single" w:sz="12" w:space="0" w:color="auto"/>
              <w:bottom w:val="single" w:sz="12" w:space="0" w:color="auto"/>
              <w:right w:val="single" w:sz="12" w:space="0" w:color="auto"/>
            </w:tcBorders>
            <w:shd w:val="clear" w:color="auto" w:fill="F2DBDB" w:themeFill="accent2" w:themeFillTint="33"/>
          </w:tcPr>
          <w:p w:rsidR="00B45F7C" w:rsidRPr="00881D79" w:rsidRDefault="003E7C2A" w:rsidP="00B45F7C">
            <w:pPr>
              <w:autoSpaceDE w:val="0"/>
              <w:autoSpaceDN w:val="0"/>
              <w:adjustRightInd w:val="0"/>
              <w:spacing w:after="0" w:line="240" w:lineRule="auto"/>
              <w:jc w:val="both"/>
              <w:rPr>
                <w:rFonts w:ascii="Arial" w:hAnsi="Arial" w:cs="Arial"/>
                <w:b/>
                <w:bCs/>
                <w:color w:val="000000"/>
                <w:sz w:val="20"/>
                <w:szCs w:val="20"/>
              </w:rPr>
            </w:pPr>
          </w:p>
        </w:tc>
        <w:tc>
          <w:tcPr>
            <w:tcW w:w="1418" w:type="dxa"/>
            <w:tcBorders>
              <w:top w:val="nil"/>
              <w:left w:val="single" w:sz="12" w:space="0" w:color="auto"/>
              <w:bottom w:val="single" w:sz="12" w:space="0" w:color="auto"/>
              <w:right w:val="single" w:sz="12" w:space="0" w:color="auto"/>
            </w:tcBorders>
          </w:tcPr>
          <w:p w:rsidR="00B45F7C" w:rsidRPr="00881D79" w:rsidRDefault="003E7C2A" w:rsidP="00B45F7C">
            <w:pPr>
              <w:autoSpaceDE w:val="0"/>
              <w:autoSpaceDN w:val="0"/>
              <w:adjustRightInd w:val="0"/>
              <w:spacing w:after="0" w:line="240" w:lineRule="auto"/>
              <w:jc w:val="both"/>
              <w:rPr>
                <w:rFonts w:ascii="Arial" w:hAnsi="Arial" w:cs="Arial"/>
                <w:b/>
                <w:bCs/>
                <w:color w:val="000000"/>
                <w:sz w:val="20"/>
                <w:szCs w:val="20"/>
              </w:rPr>
            </w:pPr>
          </w:p>
        </w:tc>
      </w:tr>
      <w:tr w:rsidR="00881D79" w:rsidRPr="00881D79" w:rsidTr="00881D79">
        <w:trPr>
          <w:trHeight w:val="566"/>
        </w:trPr>
        <w:tc>
          <w:tcPr>
            <w:tcW w:w="1419" w:type="dxa"/>
            <w:tcBorders>
              <w:top w:val="nil"/>
              <w:left w:val="single" w:sz="12" w:space="0" w:color="auto"/>
              <w:bottom w:val="single" w:sz="12" w:space="0" w:color="auto"/>
              <w:right w:val="single" w:sz="12" w:space="0" w:color="auto"/>
            </w:tcBorders>
          </w:tcPr>
          <w:p w:rsidR="00B45F7C" w:rsidRPr="00881D79" w:rsidRDefault="00A44354"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Number of Homes England sites submitted for planning</w:t>
            </w:r>
            <w:r w:rsidR="00881D79" w:rsidRPr="00881D79">
              <w:rPr>
                <w:rFonts w:ascii="Arial" w:hAnsi="Arial" w:cs="Arial"/>
                <w:color w:val="000000"/>
                <w:sz w:val="20"/>
                <w:szCs w:val="20"/>
              </w:rPr>
              <w:br/>
            </w:r>
            <w:r w:rsidRPr="00881D79">
              <w:rPr>
                <w:rFonts w:ascii="Arial" w:hAnsi="Arial" w:cs="Arial"/>
                <w:color w:val="000000"/>
                <w:sz w:val="20"/>
                <w:szCs w:val="20"/>
              </w:rPr>
              <w:t xml:space="preserve">permission </w:t>
            </w:r>
          </w:p>
        </w:tc>
        <w:tc>
          <w:tcPr>
            <w:tcW w:w="850" w:type="dxa"/>
            <w:tcBorders>
              <w:top w:val="nil"/>
              <w:left w:val="single" w:sz="4" w:space="0" w:color="auto"/>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 xml:space="preserve">1 </w:t>
            </w:r>
          </w:p>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outline</w:t>
            </w:r>
          </w:p>
        </w:tc>
        <w:tc>
          <w:tcPr>
            <w:tcW w:w="851" w:type="dxa"/>
            <w:tcBorders>
              <w:top w:val="nil"/>
              <w:left w:val="nil"/>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1</w:t>
            </w:r>
          </w:p>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outline</w:t>
            </w:r>
          </w:p>
        </w:tc>
        <w:tc>
          <w:tcPr>
            <w:tcW w:w="850" w:type="dxa"/>
            <w:tcBorders>
              <w:top w:val="nil"/>
              <w:left w:val="nil"/>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1</w:t>
            </w:r>
          </w:p>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outline</w:t>
            </w:r>
          </w:p>
        </w:tc>
        <w:tc>
          <w:tcPr>
            <w:tcW w:w="851" w:type="dxa"/>
            <w:tcBorders>
              <w:top w:val="nil"/>
              <w:left w:val="nil"/>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0</w:t>
            </w:r>
          </w:p>
        </w:tc>
        <w:tc>
          <w:tcPr>
            <w:tcW w:w="850" w:type="dxa"/>
            <w:tcBorders>
              <w:top w:val="nil"/>
              <w:left w:val="nil"/>
              <w:bottom w:val="single" w:sz="12" w:space="0" w:color="auto"/>
              <w:right w:val="single" w:sz="12" w:space="0" w:color="auto"/>
            </w:tcBorders>
            <w:shd w:val="clear" w:color="auto" w:fill="auto"/>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 xml:space="preserve">2 </w:t>
            </w:r>
          </w:p>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outline</w:t>
            </w:r>
          </w:p>
        </w:tc>
        <w:tc>
          <w:tcPr>
            <w:tcW w:w="992" w:type="dxa"/>
            <w:tcBorders>
              <w:top w:val="nil"/>
              <w:left w:val="nil"/>
              <w:bottom w:val="single" w:sz="12" w:space="0" w:color="auto"/>
              <w:right w:val="single" w:sz="12" w:space="0" w:color="auto"/>
            </w:tcBorders>
            <w:shd w:val="clear" w:color="auto" w:fill="auto"/>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 xml:space="preserve">1 </w:t>
            </w:r>
          </w:p>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outline</w:t>
            </w:r>
          </w:p>
        </w:tc>
        <w:tc>
          <w:tcPr>
            <w:tcW w:w="1418" w:type="dxa"/>
            <w:tcBorders>
              <w:top w:val="single" w:sz="12" w:space="0" w:color="auto"/>
              <w:left w:val="nil"/>
              <w:bottom w:val="single" w:sz="12" w:space="0" w:color="auto"/>
              <w:right w:val="single" w:sz="12" w:space="0" w:color="auto"/>
            </w:tcBorders>
            <w:shd w:val="clear" w:color="auto" w:fill="F2DBDB" w:themeFill="accent2" w:themeFillTint="33"/>
          </w:tcPr>
          <w:p w:rsidR="00B45F7C" w:rsidRPr="00881D79" w:rsidRDefault="00A44354"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 xml:space="preserve">0 housing </w:t>
            </w:r>
          </w:p>
          <w:p w:rsidR="00B45F7C" w:rsidRPr="00881D79" w:rsidRDefault="00A44354"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2 commercial (full)</w:t>
            </w:r>
          </w:p>
        </w:tc>
        <w:tc>
          <w:tcPr>
            <w:tcW w:w="1417" w:type="dxa"/>
            <w:tcBorders>
              <w:top w:val="single" w:sz="12" w:space="0" w:color="auto"/>
              <w:left w:val="nil"/>
              <w:bottom w:val="single" w:sz="12" w:space="0" w:color="auto"/>
              <w:right w:val="single" w:sz="12" w:space="0" w:color="auto"/>
            </w:tcBorders>
            <w:shd w:val="clear" w:color="auto" w:fill="F2DBDB" w:themeFill="accent2" w:themeFillTint="33"/>
          </w:tcPr>
          <w:p w:rsidR="00B45F7C" w:rsidRPr="00881D79" w:rsidRDefault="00A44354"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 xml:space="preserve">0 housing </w:t>
            </w:r>
          </w:p>
          <w:p w:rsidR="00B45F7C" w:rsidRPr="00881D79" w:rsidRDefault="00881D79" w:rsidP="00881D7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2 </w:t>
            </w:r>
            <w:r w:rsidR="00A44354" w:rsidRPr="00881D79">
              <w:rPr>
                <w:rFonts w:ascii="Arial" w:hAnsi="Arial" w:cs="Arial"/>
                <w:color w:val="000000"/>
                <w:sz w:val="20"/>
                <w:szCs w:val="20"/>
              </w:rPr>
              <w:t>commercial (full)</w:t>
            </w:r>
          </w:p>
        </w:tc>
        <w:tc>
          <w:tcPr>
            <w:tcW w:w="1418" w:type="dxa"/>
            <w:tcBorders>
              <w:top w:val="single" w:sz="12" w:space="0" w:color="auto"/>
              <w:left w:val="nil"/>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+1</w:t>
            </w:r>
          </w:p>
        </w:tc>
      </w:tr>
      <w:tr w:rsidR="00881D79" w:rsidRPr="00881D79" w:rsidTr="00881D79">
        <w:trPr>
          <w:trHeight w:val="989"/>
        </w:trPr>
        <w:tc>
          <w:tcPr>
            <w:tcW w:w="1419" w:type="dxa"/>
            <w:tcBorders>
              <w:top w:val="nil"/>
              <w:left w:val="single" w:sz="12" w:space="0" w:color="auto"/>
              <w:bottom w:val="single" w:sz="12" w:space="0" w:color="auto"/>
              <w:right w:val="single" w:sz="12" w:space="0" w:color="auto"/>
            </w:tcBorders>
          </w:tcPr>
          <w:p w:rsidR="00B45F7C" w:rsidRPr="00881D79" w:rsidRDefault="00A44354"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 xml:space="preserve">Number of Homes England sites granted planning permission </w:t>
            </w:r>
          </w:p>
        </w:tc>
        <w:tc>
          <w:tcPr>
            <w:tcW w:w="850" w:type="dxa"/>
            <w:tcBorders>
              <w:top w:val="nil"/>
              <w:left w:val="single" w:sz="4" w:space="0" w:color="auto"/>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 xml:space="preserve">3 </w:t>
            </w:r>
          </w:p>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outline</w:t>
            </w:r>
          </w:p>
        </w:tc>
        <w:tc>
          <w:tcPr>
            <w:tcW w:w="851" w:type="dxa"/>
            <w:tcBorders>
              <w:top w:val="nil"/>
              <w:left w:val="nil"/>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3</w:t>
            </w:r>
          </w:p>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outline</w:t>
            </w:r>
          </w:p>
        </w:tc>
        <w:tc>
          <w:tcPr>
            <w:tcW w:w="850" w:type="dxa"/>
            <w:tcBorders>
              <w:top w:val="nil"/>
              <w:left w:val="nil"/>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0</w:t>
            </w:r>
          </w:p>
        </w:tc>
        <w:tc>
          <w:tcPr>
            <w:tcW w:w="851" w:type="dxa"/>
            <w:tcBorders>
              <w:top w:val="nil"/>
              <w:left w:val="nil"/>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0</w:t>
            </w:r>
          </w:p>
        </w:tc>
        <w:tc>
          <w:tcPr>
            <w:tcW w:w="850" w:type="dxa"/>
            <w:tcBorders>
              <w:top w:val="nil"/>
              <w:left w:val="nil"/>
              <w:bottom w:val="single" w:sz="12" w:space="0" w:color="auto"/>
              <w:right w:val="single" w:sz="12" w:space="0" w:color="auto"/>
            </w:tcBorders>
            <w:shd w:val="clear" w:color="auto" w:fill="auto"/>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 xml:space="preserve">1 </w:t>
            </w:r>
          </w:p>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outline</w:t>
            </w:r>
          </w:p>
          <w:p w:rsidR="00B45F7C" w:rsidRPr="00881D79" w:rsidRDefault="003E7C2A" w:rsidP="00B45F7C">
            <w:pPr>
              <w:autoSpaceDE w:val="0"/>
              <w:autoSpaceDN w:val="0"/>
              <w:adjustRightInd w:val="0"/>
              <w:spacing w:after="0" w:line="240" w:lineRule="auto"/>
              <w:jc w:val="both"/>
              <w:rPr>
                <w:rFonts w:ascii="Arial" w:hAnsi="Arial" w:cs="Arial"/>
                <w:color w:val="000000"/>
                <w:sz w:val="20"/>
                <w:szCs w:val="20"/>
              </w:rPr>
            </w:pPr>
          </w:p>
        </w:tc>
        <w:tc>
          <w:tcPr>
            <w:tcW w:w="992" w:type="dxa"/>
            <w:tcBorders>
              <w:top w:val="nil"/>
              <w:left w:val="nil"/>
              <w:bottom w:val="single" w:sz="12" w:space="0" w:color="auto"/>
              <w:right w:val="single" w:sz="12" w:space="0" w:color="auto"/>
            </w:tcBorders>
            <w:shd w:val="clear" w:color="auto" w:fill="auto"/>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 xml:space="preserve">1 </w:t>
            </w:r>
          </w:p>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outline</w:t>
            </w:r>
          </w:p>
        </w:tc>
        <w:tc>
          <w:tcPr>
            <w:tcW w:w="1418" w:type="dxa"/>
            <w:tcBorders>
              <w:top w:val="single" w:sz="12" w:space="0" w:color="auto"/>
              <w:left w:val="nil"/>
              <w:bottom w:val="single" w:sz="12" w:space="0" w:color="auto"/>
              <w:right w:val="single" w:sz="12" w:space="0" w:color="auto"/>
            </w:tcBorders>
            <w:shd w:val="clear" w:color="auto" w:fill="F2DBDB" w:themeFill="accent2" w:themeFillTint="33"/>
          </w:tcPr>
          <w:p w:rsidR="00B45F7C" w:rsidRPr="00881D79" w:rsidRDefault="00A44354"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0 housing</w:t>
            </w:r>
          </w:p>
          <w:p w:rsidR="00B45F7C" w:rsidRPr="00881D79" w:rsidRDefault="00881D79"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 xml:space="preserve">3 </w:t>
            </w:r>
            <w:r w:rsidR="00A44354" w:rsidRPr="00881D79">
              <w:rPr>
                <w:rFonts w:ascii="Arial" w:hAnsi="Arial" w:cs="Arial"/>
                <w:color w:val="000000"/>
                <w:sz w:val="20"/>
                <w:szCs w:val="20"/>
              </w:rPr>
              <w:t>commercial (full)</w:t>
            </w:r>
          </w:p>
        </w:tc>
        <w:tc>
          <w:tcPr>
            <w:tcW w:w="1417" w:type="dxa"/>
            <w:tcBorders>
              <w:top w:val="single" w:sz="12" w:space="0" w:color="auto"/>
              <w:left w:val="nil"/>
              <w:bottom w:val="single" w:sz="12" w:space="0" w:color="auto"/>
              <w:right w:val="single" w:sz="12" w:space="0" w:color="auto"/>
            </w:tcBorders>
            <w:shd w:val="clear" w:color="auto" w:fill="F2DBDB" w:themeFill="accent2" w:themeFillTint="33"/>
          </w:tcPr>
          <w:p w:rsidR="00B45F7C" w:rsidRPr="00881D79" w:rsidRDefault="00A44354"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 xml:space="preserve">0 housing </w:t>
            </w:r>
          </w:p>
          <w:p w:rsidR="00B45F7C" w:rsidRPr="00881D79" w:rsidRDefault="00A44354"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2 commercial (full)</w:t>
            </w:r>
          </w:p>
        </w:tc>
        <w:tc>
          <w:tcPr>
            <w:tcW w:w="1418" w:type="dxa"/>
            <w:tcBorders>
              <w:top w:val="single" w:sz="12" w:space="0" w:color="auto"/>
              <w:left w:val="nil"/>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+2</w:t>
            </w:r>
          </w:p>
        </w:tc>
      </w:tr>
      <w:tr w:rsidR="00881D79" w:rsidRPr="00881D79" w:rsidTr="00881D79">
        <w:trPr>
          <w:trHeight w:val="842"/>
        </w:trPr>
        <w:tc>
          <w:tcPr>
            <w:tcW w:w="1419" w:type="dxa"/>
            <w:tcBorders>
              <w:top w:val="nil"/>
              <w:left w:val="single" w:sz="12" w:space="0" w:color="auto"/>
              <w:bottom w:val="single" w:sz="12" w:space="0" w:color="auto"/>
              <w:right w:val="single" w:sz="12" w:space="0" w:color="auto"/>
            </w:tcBorders>
          </w:tcPr>
          <w:p w:rsidR="00A44354" w:rsidRPr="00881D79" w:rsidRDefault="00A44354"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 xml:space="preserve">Number of Homes England sites </w:t>
            </w:r>
            <w:r w:rsidR="00881D79" w:rsidRPr="00881D79">
              <w:rPr>
                <w:rFonts w:ascii="Arial" w:hAnsi="Arial" w:cs="Arial"/>
                <w:color w:val="000000"/>
                <w:sz w:val="20"/>
                <w:szCs w:val="20"/>
              </w:rPr>
              <w:br/>
            </w:r>
            <w:r w:rsidRPr="00881D79">
              <w:rPr>
                <w:rFonts w:ascii="Arial" w:hAnsi="Arial" w:cs="Arial"/>
                <w:color w:val="000000"/>
                <w:sz w:val="20"/>
                <w:szCs w:val="20"/>
              </w:rPr>
              <w:t>where construction is actively taking place</w:t>
            </w:r>
            <w:r w:rsidRPr="00881D79">
              <w:rPr>
                <w:rFonts w:ascii="Arial" w:hAnsi="Arial" w:cs="Arial"/>
                <w:color w:val="000000"/>
                <w:sz w:val="20"/>
                <w:szCs w:val="20"/>
                <w:vertAlign w:val="superscript"/>
              </w:rPr>
              <w:endnoteReference w:id="1"/>
            </w:r>
          </w:p>
        </w:tc>
        <w:tc>
          <w:tcPr>
            <w:tcW w:w="850" w:type="dxa"/>
            <w:tcBorders>
              <w:top w:val="nil"/>
              <w:left w:val="single" w:sz="4" w:space="0" w:color="auto"/>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3</w:t>
            </w:r>
          </w:p>
        </w:tc>
        <w:tc>
          <w:tcPr>
            <w:tcW w:w="851" w:type="dxa"/>
            <w:tcBorders>
              <w:top w:val="nil"/>
              <w:left w:val="nil"/>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3</w:t>
            </w:r>
          </w:p>
        </w:tc>
        <w:tc>
          <w:tcPr>
            <w:tcW w:w="850" w:type="dxa"/>
            <w:tcBorders>
              <w:top w:val="nil"/>
              <w:left w:val="nil"/>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3</w:t>
            </w:r>
          </w:p>
        </w:tc>
        <w:tc>
          <w:tcPr>
            <w:tcW w:w="851" w:type="dxa"/>
            <w:tcBorders>
              <w:top w:val="nil"/>
              <w:left w:val="nil"/>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3</w:t>
            </w:r>
          </w:p>
        </w:tc>
        <w:tc>
          <w:tcPr>
            <w:tcW w:w="850" w:type="dxa"/>
            <w:tcBorders>
              <w:top w:val="nil"/>
              <w:left w:val="nil"/>
              <w:bottom w:val="single" w:sz="12" w:space="0" w:color="auto"/>
              <w:right w:val="single" w:sz="12" w:space="0" w:color="auto"/>
            </w:tcBorders>
            <w:shd w:val="clear" w:color="auto" w:fill="auto"/>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8</w:t>
            </w:r>
          </w:p>
        </w:tc>
        <w:tc>
          <w:tcPr>
            <w:tcW w:w="992" w:type="dxa"/>
            <w:tcBorders>
              <w:top w:val="nil"/>
              <w:left w:val="nil"/>
              <w:bottom w:val="single" w:sz="12" w:space="0" w:color="auto"/>
              <w:right w:val="single" w:sz="12" w:space="0" w:color="auto"/>
            </w:tcBorders>
            <w:shd w:val="clear" w:color="auto" w:fill="auto"/>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5</w:t>
            </w:r>
          </w:p>
        </w:tc>
        <w:tc>
          <w:tcPr>
            <w:tcW w:w="1418" w:type="dxa"/>
            <w:tcBorders>
              <w:top w:val="nil"/>
              <w:left w:val="nil"/>
              <w:bottom w:val="single" w:sz="12" w:space="0" w:color="auto"/>
              <w:right w:val="single" w:sz="12" w:space="0" w:color="auto"/>
            </w:tcBorders>
            <w:shd w:val="clear" w:color="auto" w:fill="F2DBDB" w:themeFill="accent2" w:themeFillTint="33"/>
          </w:tcPr>
          <w:p w:rsidR="00B45F7C" w:rsidRPr="00881D79" w:rsidRDefault="00A44354"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7 housing</w:t>
            </w:r>
          </w:p>
          <w:p w:rsidR="00B45F7C" w:rsidRPr="00881D79" w:rsidRDefault="00A44354"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1 commercial</w:t>
            </w:r>
          </w:p>
        </w:tc>
        <w:tc>
          <w:tcPr>
            <w:tcW w:w="1417" w:type="dxa"/>
            <w:tcBorders>
              <w:top w:val="nil"/>
              <w:left w:val="nil"/>
              <w:bottom w:val="single" w:sz="12" w:space="0" w:color="auto"/>
              <w:right w:val="single" w:sz="12" w:space="0" w:color="auto"/>
            </w:tcBorders>
            <w:shd w:val="clear" w:color="auto" w:fill="F2DBDB" w:themeFill="accent2" w:themeFillTint="33"/>
          </w:tcPr>
          <w:p w:rsidR="00B45F7C" w:rsidRPr="00881D79" w:rsidRDefault="00A44354"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6 housing</w:t>
            </w:r>
          </w:p>
          <w:p w:rsidR="00B45F7C" w:rsidRPr="00881D79" w:rsidRDefault="00A44354"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1 commercial</w:t>
            </w:r>
          </w:p>
        </w:tc>
        <w:tc>
          <w:tcPr>
            <w:tcW w:w="1418" w:type="dxa"/>
            <w:tcBorders>
              <w:top w:val="nil"/>
              <w:left w:val="nil"/>
              <w:bottom w:val="single" w:sz="12" w:space="0" w:color="auto"/>
              <w:right w:val="single" w:sz="12" w:space="0" w:color="auto"/>
            </w:tcBorders>
          </w:tcPr>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N/A**</w:t>
            </w:r>
          </w:p>
        </w:tc>
      </w:tr>
      <w:tr w:rsidR="00881D79" w:rsidRPr="00881D79" w:rsidTr="00881D79">
        <w:trPr>
          <w:trHeight w:val="1237"/>
        </w:trPr>
        <w:tc>
          <w:tcPr>
            <w:tcW w:w="1419" w:type="dxa"/>
            <w:tcBorders>
              <w:top w:val="single" w:sz="12" w:space="0" w:color="auto"/>
              <w:left w:val="single" w:sz="12" w:space="0" w:color="auto"/>
              <w:bottom w:val="nil"/>
              <w:right w:val="single" w:sz="12" w:space="0" w:color="auto"/>
            </w:tcBorders>
          </w:tcPr>
          <w:p w:rsidR="00B45F7C" w:rsidRPr="00881D79" w:rsidRDefault="00A44354"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 xml:space="preserve">Total number of housing completions on Homes England sites </w:t>
            </w:r>
          </w:p>
        </w:tc>
        <w:tc>
          <w:tcPr>
            <w:tcW w:w="850" w:type="dxa"/>
            <w:tcBorders>
              <w:top w:val="single" w:sz="12" w:space="0" w:color="auto"/>
              <w:left w:val="single" w:sz="4" w:space="0" w:color="auto"/>
              <w:bottom w:val="nil"/>
              <w:right w:val="single" w:sz="12" w:space="0" w:color="auto"/>
            </w:tcBorders>
          </w:tcPr>
          <w:p w:rsidR="00B45F7C" w:rsidRPr="00881D79" w:rsidRDefault="003E7C2A" w:rsidP="00B45F7C">
            <w:pPr>
              <w:autoSpaceDE w:val="0"/>
              <w:autoSpaceDN w:val="0"/>
              <w:adjustRightInd w:val="0"/>
              <w:spacing w:after="0" w:line="240" w:lineRule="auto"/>
              <w:jc w:val="both"/>
              <w:rPr>
                <w:rFonts w:ascii="Arial" w:hAnsi="Arial" w:cs="Arial"/>
                <w:color w:val="000000"/>
                <w:sz w:val="20"/>
                <w:szCs w:val="20"/>
              </w:rPr>
            </w:pPr>
          </w:p>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60</w:t>
            </w:r>
          </w:p>
        </w:tc>
        <w:tc>
          <w:tcPr>
            <w:tcW w:w="851" w:type="dxa"/>
            <w:tcBorders>
              <w:top w:val="single" w:sz="12" w:space="0" w:color="auto"/>
              <w:left w:val="single" w:sz="12" w:space="0" w:color="auto"/>
              <w:bottom w:val="nil"/>
              <w:right w:val="single" w:sz="12" w:space="0" w:color="auto"/>
            </w:tcBorders>
          </w:tcPr>
          <w:p w:rsidR="00B45F7C" w:rsidRPr="00881D79" w:rsidRDefault="003E7C2A" w:rsidP="00B45F7C">
            <w:pPr>
              <w:autoSpaceDE w:val="0"/>
              <w:autoSpaceDN w:val="0"/>
              <w:adjustRightInd w:val="0"/>
              <w:spacing w:after="0" w:line="240" w:lineRule="auto"/>
              <w:jc w:val="both"/>
              <w:rPr>
                <w:rFonts w:ascii="Arial" w:hAnsi="Arial" w:cs="Arial"/>
                <w:color w:val="000000"/>
                <w:sz w:val="20"/>
                <w:szCs w:val="20"/>
              </w:rPr>
            </w:pPr>
          </w:p>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44</w:t>
            </w:r>
          </w:p>
          <w:p w:rsidR="00B45F7C" w:rsidRPr="00881D79" w:rsidRDefault="003E7C2A" w:rsidP="00B45F7C">
            <w:pPr>
              <w:autoSpaceDE w:val="0"/>
              <w:autoSpaceDN w:val="0"/>
              <w:adjustRightInd w:val="0"/>
              <w:spacing w:after="0" w:line="240" w:lineRule="auto"/>
              <w:jc w:val="both"/>
              <w:rPr>
                <w:rFonts w:ascii="Arial" w:hAnsi="Arial" w:cs="Arial"/>
                <w:color w:val="000000"/>
                <w:sz w:val="20"/>
                <w:szCs w:val="20"/>
              </w:rPr>
            </w:pPr>
          </w:p>
          <w:p w:rsidR="00B45F7C" w:rsidRPr="00881D79" w:rsidRDefault="003E7C2A" w:rsidP="00B45F7C">
            <w:pPr>
              <w:autoSpaceDE w:val="0"/>
              <w:autoSpaceDN w:val="0"/>
              <w:adjustRightInd w:val="0"/>
              <w:spacing w:after="0" w:line="240" w:lineRule="auto"/>
              <w:jc w:val="both"/>
              <w:rPr>
                <w:rFonts w:ascii="Arial" w:hAnsi="Arial" w:cs="Arial"/>
                <w:color w:val="000000"/>
                <w:sz w:val="20"/>
                <w:szCs w:val="20"/>
              </w:rPr>
            </w:pPr>
          </w:p>
        </w:tc>
        <w:tc>
          <w:tcPr>
            <w:tcW w:w="850" w:type="dxa"/>
            <w:tcBorders>
              <w:top w:val="single" w:sz="12" w:space="0" w:color="auto"/>
              <w:left w:val="single" w:sz="12" w:space="0" w:color="auto"/>
              <w:bottom w:val="nil"/>
              <w:right w:val="single" w:sz="12" w:space="0" w:color="auto"/>
            </w:tcBorders>
          </w:tcPr>
          <w:p w:rsidR="00B45F7C" w:rsidRPr="00881D79" w:rsidRDefault="003E7C2A" w:rsidP="00B45F7C">
            <w:pPr>
              <w:autoSpaceDE w:val="0"/>
              <w:autoSpaceDN w:val="0"/>
              <w:adjustRightInd w:val="0"/>
              <w:spacing w:after="0" w:line="240" w:lineRule="auto"/>
              <w:jc w:val="both"/>
              <w:rPr>
                <w:rFonts w:ascii="Arial" w:hAnsi="Arial" w:cs="Arial"/>
                <w:color w:val="000000"/>
                <w:sz w:val="20"/>
                <w:szCs w:val="20"/>
              </w:rPr>
            </w:pPr>
          </w:p>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70</w:t>
            </w:r>
          </w:p>
        </w:tc>
        <w:tc>
          <w:tcPr>
            <w:tcW w:w="851" w:type="dxa"/>
            <w:tcBorders>
              <w:top w:val="single" w:sz="12" w:space="0" w:color="auto"/>
              <w:left w:val="single" w:sz="12" w:space="0" w:color="auto"/>
              <w:bottom w:val="nil"/>
              <w:right w:val="single" w:sz="12" w:space="0" w:color="auto"/>
            </w:tcBorders>
          </w:tcPr>
          <w:p w:rsidR="00B45F7C" w:rsidRPr="00881D79" w:rsidRDefault="003E7C2A" w:rsidP="00B45F7C">
            <w:pPr>
              <w:autoSpaceDE w:val="0"/>
              <w:autoSpaceDN w:val="0"/>
              <w:adjustRightInd w:val="0"/>
              <w:spacing w:after="0" w:line="240" w:lineRule="auto"/>
              <w:jc w:val="both"/>
              <w:rPr>
                <w:rFonts w:ascii="Arial" w:hAnsi="Arial" w:cs="Arial"/>
                <w:color w:val="000000"/>
                <w:sz w:val="20"/>
                <w:szCs w:val="20"/>
              </w:rPr>
            </w:pPr>
          </w:p>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34</w:t>
            </w:r>
          </w:p>
        </w:tc>
        <w:tc>
          <w:tcPr>
            <w:tcW w:w="850" w:type="dxa"/>
            <w:tcBorders>
              <w:top w:val="single" w:sz="12" w:space="0" w:color="auto"/>
              <w:left w:val="single" w:sz="12" w:space="0" w:color="auto"/>
              <w:bottom w:val="nil"/>
              <w:right w:val="single" w:sz="12" w:space="0" w:color="auto"/>
            </w:tcBorders>
            <w:shd w:val="clear" w:color="auto" w:fill="auto"/>
          </w:tcPr>
          <w:p w:rsidR="00B45F7C" w:rsidRPr="00881D79" w:rsidRDefault="003E7C2A" w:rsidP="00B45F7C">
            <w:pPr>
              <w:autoSpaceDE w:val="0"/>
              <w:autoSpaceDN w:val="0"/>
              <w:adjustRightInd w:val="0"/>
              <w:spacing w:after="0" w:line="240" w:lineRule="auto"/>
              <w:jc w:val="both"/>
              <w:rPr>
                <w:rFonts w:ascii="Arial" w:hAnsi="Arial" w:cs="Arial"/>
                <w:color w:val="000000"/>
                <w:sz w:val="20"/>
                <w:szCs w:val="20"/>
              </w:rPr>
            </w:pPr>
          </w:p>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114</w:t>
            </w:r>
          </w:p>
          <w:p w:rsidR="00B45F7C" w:rsidRPr="00881D79" w:rsidRDefault="003E7C2A" w:rsidP="00B45F7C">
            <w:pPr>
              <w:spacing w:after="160" w:line="259" w:lineRule="auto"/>
              <w:jc w:val="both"/>
              <w:rPr>
                <w:rFonts w:ascii="Arial" w:hAnsi="Arial" w:cs="Arial"/>
                <w:sz w:val="20"/>
                <w:szCs w:val="20"/>
              </w:rPr>
            </w:pPr>
          </w:p>
          <w:p w:rsidR="00B45F7C" w:rsidRPr="00881D79" w:rsidRDefault="003E7C2A" w:rsidP="00B45F7C">
            <w:pPr>
              <w:spacing w:after="160" w:line="259" w:lineRule="auto"/>
              <w:jc w:val="both"/>
              <w:rPr>
                <w:rFonts w:ascii="Arial" w:hAnsi="Arial" w:cs="Arial"/>
                <w:sz w:val="20"/>
                <w:szCs w:val="20"/>
              </w:rPr>
            </w:pPr>
          </w:p>
        </w:tc>
        <w:tc>
          <w:tcPr>
            <w:tcW w:w="992" w:type="dxa"/>
            <w:tcBorders>
              <w:top w:val="single" w:sz="12" w:space="0" w:color="auto"/>
              <w:left w:val="single" w:sz="12" w:space="0" w:color="auto"/>
              <w:bottom w:val="nil"/>
              <w:right w:val="single" w:sz="12" w:space="0" w:color="auto"/>
            </w:tcBorders>
            <w:shd w:val="clear" w:color="auto" w:fill="auto"/>
          </w:tcPr>
          <w:p w:rsidR="00B45F7C" w:rsidRPr="00881D79" w:rsidRDefault="003E7C2A" w:rsidP="00B45F7C">
            <w:pPr>
              <w:autoSpaceDE w:val="0"/>
              <w:autoSpaceDN w:val="0"/>
              <w:adjustRightInd w:val="0"/>
              <w:spacing w:after="0" w:line="240" w:lineRule="auto"/>
              <w:jc w:val="both"/>
              <w:rPr>
                <w:rFonts w:ascii="Arial" w:hAnsi="Arial" w:cs="Arial"/>
                <w:color w:val="000000"/>
                <w:sz w:val="20"/>
                <w:szCs w:val="20"/>
              </w:rPr>
            </w:pPr>
          </w:p>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127</w:t>
            </w:r>
          </w:p>
          <w:p w:rsidR="00B45F7C" w:rsidRPr="00881D79" w:rsidRDefault="003E7C2A" w:rsidP="00B45F7C">
            <w:pPr>
              <w:autoSpaceDE w:val="0"/>
              <w:autoSpaceDN w:val="0"/>
              <w:adjustRightInd w:val="0"/>
              <w:spacing w:after="0" w:line="240" w:lineRule="auto"/>
              <w:jc w:val="both"/>
              <w:rPr>
                <w:rFonts w:ascii="Arial" w:hAnsi="Arial" w:cs="Arial"/>
                <w:color w:val="000000"/>
                <w:sz w:val="20"/>
                <w:szCs w:val="20"/>
              </w:rPr>
            </w:pPr>
          </w:p>
        </w:tc>
        <w:tc>
          <w:tcPr>
            <w:tcW w:w="1418" w:type="dxa"/>
            <w:tcBorders>
              <w:top w:val="single" w:sz="12" w:space="0" w:color="auto"/>
              <w:left w:val="single" w:sz="12" w:space="0" w:color="auto"/>
              <w:bottom w:val="nil"/>
              <w:right w:val="single" w:sz="12" w:space="0" w:color="auto"/>
            </w:tcBorders>
            <w:shd w:val="clear" w:color="auto" w:fill="F2DBDB" w:themeFill="accent2" w:themeFillTint="33"/>
          </w:tcPr>
          <w:p w:rsidR="00B45F7C" w:rsidRPr="00881D79" w:rsidRDefault="003E7C2A" w:rsidP="00881D79">
            <w:pPr>
              <w:autoSpaceDE w:val="0"/>
              <w:autoSpaceDN w:val="0"/>
              <w:adjustRightInd w:val="0"/>
              <w:spacing w:after="0" w:line="240" w:lineRule="auto"/>
              <w:rPr>
                <w:rFonts w:ascii="Arial" w:hAnsi="Arial" w:cs="Arial"/>
                <w:color w:val="000000"/>
                <w:sz w:val="20"/>
                <w:szCs w:val="20"/>
              </w:rPr>
            </w:pPr>
          </w:p>
          <w:p w:rsidR="00B45F7C" w:rsidRPr="00881D79" w:rsidRDefault="00A44354"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147</w:t>
            </w:r>
          </w:p>
        </w:tc>
        <w:tc>
          <w:tcPr>
            <w:tcW w:w="1417" w:type="dxa"/>
            <w:tcBorders>
              <w:top w:val="single" w:sz="12" w:space="0" w:color="auto"/>
              <w:left w:val="single" w:sz="12" w:space="0" w:color="auto"/>
              <w:bottom w:val="nil"/>
              <w:right w:val="single" w:sz="12" w:space="0" w:color="auto"/>
            </w:tcBorders>
            <w:shd w:val="clear" w:color="auto" w:fill="F2DBDB" w:themeFill="accent2" w:themeFillTint="33"/>
          </w:tcPr>
          <w:p w:rsidR="00B45F7C" w:rsidRPr="00881D79" w:rsidRDefault="003E7C2A" w:rsidP="00881D79">
            <w:pPr>
              <w:autoSpaceDE w:val="0"/>
              <w:autoSpaceDN w:val="0"/>
              <w:adjustRightInd w:val="0"/>
              <w:spacing w:after="0" w:line="240" w:lineRule="auto"/>
              <w:rPr>
                <w:rFonts w:ascii="Arial" w:hAnsi="Arial" w:cs="Arial"/>
                <w:color w:val="000000"/>
                <w:sz w:val="20"/>
                <w:szCs w:val="20"/>
              </w:rPr>
            </w:pPr>
          </w:p>
          <w:p w:rsidR="00B45F7C" w:rsidRPr="00881D79" w:rsidRDefault="00A44354" w:rsidP="00881D79">
            <w:pPr>
              <w:autoSpaceDE w:val="0"/>
              <w:autoSpaceDN w:val="0"/>
              <w:adjustRightInd w:val="0"/>
              <w:spacing w:after="0" w:line="240" w:lineRule="auto"/>
              <w:rPr>
                <w:rFonts w:ascii="Arial" w:hAnsi="Arial" w:cs="Arial"/>
                <w:color w:val="000000"/>
                <w:sz w:val="20"/>
                <w:szCs w:val="20"/>
              </w:rPr>
            </w:pPr>
            <w:r w:rsidRPr="00881D79">
              <w:rPr>
                <w:rFonts w:ascii="Arial" w:hAnsi="Arial" w:cs="Arial"/>
                <w:color w:val="000000"/>
                <w:sz w:val="20"/>
                <w:szCs w:val="20"/>
              </w:rPr>
              <w:t>155</w:t>
            </w:r>
          </w:p>
        </w:tc>
        <w:tc>
          <w:tcPr>
            <w:tcW w:w="1418" w:type="dxa"/>
            <w:tcBorders>
              <w:top w:val="single" w:sz="12" w:space="0" w:color="auto"/>
              <w:left w:val="single" w:sz="12" w:space="0" w:color="auto"/>
              <w:bottom w:val="nil"/>
              <w:right w:val="single" w:sz="12" w:space="0" w:color="auto"/>
            </w:tcBorders>
          </w:tcPr>
          <w:p w:rsidR="00B45F7C" w:rsidRPr="00881D79" w:rsidRDefault="003E7C2A" w:rsidP="00B45F7C">
            <w:pPr>
              <w:autoSpaceDE w:val="0"/>
              <w:autoSpaceDN w:val="0"/>
              <w:adjustRightInd w:val="0"/>
              <w:spacing w:after="0" w:line="240" w:lineRule="auto"/>
              <w:jc w:val="both"/>
              <w:rPr>
                <w:rFonts w:ascii="Arial" w:hAnsi="Arial" w:cs="Arial"/>
                <w:color w:val="000000"/>
                <w:sz w:val="20"/>
                <w:szCs w:val="20"/>
              </w:rPr>
            </w:pPr>
          </w:p>
          <w:p w:rsidR="00B45F7C" w:rsidRPr="00881D79" w:rsidRDefault="00A44354" w:rsidP="00B45F7C">
            <w:pPr>
              <w:autoSpaceDE w:val="0"/>
              <w:autoSpaceDN w:val="0"/>
              <w:adjustRightInd w:val="0"/>
              <w:spacing w:after="0" w:line="240" w:lineRule="auto"/>
              <w:jc w:val="both"/>
              <w:rPr>
                <w:rFonts w:ascii="Arial" w:hAnsi="Arial" w:cs="Arial"/>
                <w:color w:val="000000"/>
                <w:sz w:val="20"/>
                <w:szCs w:val="20"/>
              </w:rPr>
            </w:pPr>
            <w:r w:rsidRPr="00881D79">
              <w:rPr>
                <w:rFonts w:ascii="Arial" w:hAnsi="Arial" w:cs="Arial"/>
                <w:color w:val="000000"/>
                <w:sz w:val="20"/>
                <w:szCs w:val="20"/>
              </w:rPr>
              <w:t>-31***</w:t>
            </w:r>
          </w:p>
        </w:tc>
      </w:tr>
      <w:tr w:rsidR="00881D79" w:rsidRPr="00881D79" w:rsidTr="00881D79">
        <w:trPr>
          <w:trHeight w:val="80"/>
        </w:trPr>
        <w:tc>
          <w:tcPr>
            <w:tcW w:w="1419" w:type="dxa"/>
            <w:tcBorders>
              <w:top w:val="nil"/>
              <w:left w:val="single" w:sz="12" w:space="0" w:color="auto"/>
              <w:bottom w:val="single" w:sz="12" w:space="0" w:color="auto"/>
              <w:right w:val="single" w:sz="12" w:space="0" w:color="auto"/>
            </w:tcBorders>
          </w:tcPr>
          <w:p w:rsidR="00B45F7C" w:rsidRPr="00881D79" w:rsidRDefault="003E7C2A" w:rsidP="00B45F7C">
            <w:pPr>
              <w:autoSpaceDE w:val="0"/>
              <w:autoSpaceDN w:val="0"/>
              <w:adjustRightInd w:val="0"/>
              <w:spacing w:after="0" w:line="240" w:lineRule="auto"/>
              <w:jc w:val="both"/>
              <w:rPr>
                <w:rFonts w:ascii="Arial" w:hAnsi="Arial" w:cs="Arial"/>
                <w:color w:val="000000"/>
              </w:rPr>
            </w:pPr>
          </w:p>
        </w:tc>
        <w:tc>
          <w:tcPr>
            <w:tcW w:w="850" w:type="dxa"/>
            <w:tcBorders>
              <w:top w:val="nil"/>
              <w:left w:val="single" w:sz="12" w:space="0" w:color="auto"/>
              <w:bottom w:val="single" w:sz="12" w:space="0" w:color="auto"/>
              <w:right w:val="single" w:sz="12" w:space="0" w:color="auto"/>
            </w:tcBorders>
          </w:tcPr>
          <w:p w:rsidR="00B45F7C" w:rsidRPr="00881D79" w:rsidRDefault="003E7C2A" w:rsidP="00B45F7C">
            <w:pPr>
              <w:autoSpaceDE w:val="0"/>
              <w:autoSpaceDN w:val="0"/>
              <w:adjustRightInd w:val="0"/>
              <w:spacing w:after="0" w:line="240" w:lineRule="auto"/>
              <w:jc w:val="both"/>
              <w:rPr>
                <w:rFonts w:ascii="Arial" w:hAnsi="Arial" w:cs="Arial"/>
                <w:color w:val="000000"/>
              </w:rPr>
            </w:pPr>
          </w:p>
        </w:tc>
        <w:tc>
          <w:tcPr>
            <w:tcW w:w="851" w:type="dxa"/>
            <w:tcBorders>
              <w:top w:val="nil"/>
              <w:left w:val="single" w:sz="12" w:space="0" w:color="auto"/>
              <w:bottom w:val="single" w:sz="12" w:space="0" w:color="auto"/>
              <w:right w:val="single" w:sz="12" w:space="0" w:color="auto"/>
            </w:tcBorders>
          </w:tcPr>
          <w:p w:rsidR="00B45F7C" w:rsidRPr="00881D79" w:rsidRDefault="003E7C2A" w:rsidP="00B45F7C">
            <w:pPr>
              <w:autoSpaceDE w:val="0"/>
              <w:autoSpaceDN w:val="0"/>
              <w:adjustRightInd w:val="0"/>
              <w:spacing w:after="0" w:line="240" w:lineRule="auto"/>
              <w:jc w:val="both"/>
              <w:rPr>
                <w:rFonts w:ascii="Arial" w:hAnsi="Arial" w:cs="Arial"/>
                <w:color w:val="000000"/>
              </w:rPr>
            </w:pPr>
          </w:p>
        </w:tc>
        <w:tc>
          <w:tcPr>
            <w:tcW w:w="850" w:type="dxa"/>
            <w:tcBorders>
              <w:top w:val="nil"/>
              <w:left w:val="single" w:sz="12" w:space="0" w:color="auto"/>
              <w:bottom w:val="single" w:sz="12" w:space="0" w:color="auto"/>
              <w:right w:val="single" w:sz="12" w:space="0" w:color="auto"/>
            </w:tcBorders>
          </w:tcPr>
          <w:p w:rsidR="00B45F7C" w:rsidRPr="00881D79" w:rsidRDefault="003E7C2A" w:rsidP="00B45F7C">
            <w:pPr>
              <w:autoSpaceDE w:val="0"/>
              <w:autoSpaceDN w:val="0"/>
              <w:adjustRightInd w:val="0"/>
              <w:spacing w:after="0" w:line="240" w:lineRule="auto"/>
              <w:jc w:val="both"/>
              <w:rPr>
                <w:rFonts w:ascii="Arial" w:hAnsi="Arial" w:cs="Arial"/>
                <w:color w:val="000000"/>
              </w:rPr>
            </w:pPr>
          </w:p>
        </w:tc>
        <w:tc>
          <w:tcPr>
            <w:tcW w:w="851" w:type="dxa"/>
            <w:tcBorders>
              <w:top w:val="nil"/>
              <w:left w:val="single" w:sz="12" w:space="0" w:color="auto"/>
              <w:bottom w:val="single" w:sz="12" w:space="0" w:color="auto"/>
              <w:right w:val="single" w:sz="12" w:space="0" w:color="auto"/>
            </w:tcBorders>
          </w:tcPr>
          <w:p w:rsidR="00B45F7C" w:rsidRPr="00881D79" w:rsidRDefault="003E7C2A" w:rsidP="00B45F7C">
            <w:pPr>
              <w:autoSpaceDE w:val="0"/>
              <w:autoSpaceDN w:val="0"/>
              <w:adjustRightInd w:val="0"/>
              <w:spacing w:after="0" w:line="240" w:lineRule="auto"/>
              <w:jc w:val="both"/>
              <w:rPr>
                <w:rFonts w:ascii="Arial" w:hAnsi="Arial" w:cs="Arial"/>
                <w:color w:val="000000"/>
              </w:rPr>
            </w:pPr>
          </w:p>
        </w:tc>
        <w:tc>
          <w:tcPr>
            <w:tcW w:w="850" w:type="dxa"/>
            <w:tcBorders>
              <w:top w:val="nil"/>
              <w:left w:val="single" w:sz="12" w:space="0" w:color="auto"/>
              <w:bottom w:val="single" w:sz="12" w:space="0" w:color="auto"/>
              <w:right w:val="single" w:sz="12" w:space="0" w:color="auto"/>
            </w:tcBorders>
            <w:shd w:val="clear" w:color="auto" w:fill="auto"/>
          </w:tcPr>
          <w:p w:rsidR="00B45F7C" w:rsidRPr="00881D79" w:rsidRDefault="003E7C2A" w:rsidP="00B45F7C">
            <w:pPr>
              <w:autoSpaceDE w:val="0"/>
              <w:autoSpaceDN w:val="0"/>
              <w:adjustRightInd w:val="0"/>
              <w:spacing w:after="0" w:line="240" w:lineRule="auto"/>
              <w:jc w:val="both"/>
              <w:rPr>
                <w:rFonts w:ascii="Arial" w:hAnsi="Arial" w:cs="Arial"/>
                <w:color w:val="FFFFFF" w:themeColor="background1"/>
              </w:rPr>
            </w:pPr>
          </w:p>
        </w:tc>
        <w:tc>
          <w:tcPr>
            <w:tcW w:w="992" w:type="dxa"/>
            <w:tcBorders>
              <w:top w:val="nil"/>
              <w:left w:val="single" w:sz="12" w:space="0" w:color="auto"/>
              <w:bottom w:val="single" w:sz="12" w:space="0" w:color="auto"/>
              <w:right w:val="single" w:sz="12" w:space="0" w:color="auto"/>
            </w:tcBorders>
            <w:shd w:val="clear" w:color="auto" w:fill="auto"/>
          </w:tcPr>
          <w:p w:rsidR="00B45F7C" w:rsidRPr="00881D79" w:rsidRDefault="003E7C2A" w:rsidP="00B45F7C">
            <w:pPr>
              <w:autoSpaceDE w:val="0"/>
              <w:autoSpaceDN w:val="0"/>
              <w:adjustRightInd w:val="0"/>
              <w:spacing w:after="0" w:line="240" w:lineRule="auto"/>
              <w:jc w:val="both"/>
              <w:rPr>
                <w:rFonts w:ascii="Arial" w:hAnsi="Arial" w:cs="Arial"/>
                <w:color w:val="FFFFFF" w:themeColor="background1"/>
              </w:rPr>
            </w:pPr>
          </w:p>
        </w:tc>
        <w:tc>
          <w:tcPr>
            <w:tcW w:w="1418" w:type="dxa"/>
            <w:tcBorders>
              <w:top w:val="nil"/>
              <w:left w:val="single" w:sz="12" w:space="0" w:color="auto"/>
              <w:bottom w:val="single" w:sz="12" w:space="0" w:color="auto"/>
              <w:right w:val="single" w:sz="12" w:space="0" w:color="auto"/>
            </w:tcBorders>
            <w:shd w:val="clear" w:color="auto" w:fill="F2DBDB" w:themeFill="accent2" w:themeFillTint="33"/>
          </w:tcPr>
          <w:p w:rsidR="00B45F7C" w:rsidRPr="00881D79" w:rsidRDefault="003E7C2A" w:rsidP="00B45F7C">
            <w:pPr>
              <w:autoSpaceDE w:val="0"/>
              <w:autoSpaceDN w:val="0"/>
              <w:adjustRightInd w:val="0"/>
              <w:spacing w:after="0" w:line="240" w:lineRule="auto"/>
              <w:jc w:val="both"/>
              <w:rPr>
                <w:rFonts w:ascii="Arial" w:hAnsi="Arial" w:cs="Arial"/>
                <w:color w:val="000000"/>
              </w:rPr>
            </w:pPr>
          </w:p>
        </w:tc>
        <w:tc>
          <w:tcPr>
            <w:tcW w:w="1417" w:type="dxa"/>
            <w:tcBorders>
              <w:top w:val="nil"/>
              <w:left w:val="single" w:sz="12" w:space="0" w:color="auto"/>
              <w:bottom w:val="single" w:sz="12" w:space="0" w:color="auto"/>
              <w:right w:val="single" w:sz="12" w:space="0" w:color="auto"/>
            </w:tcBorders>
            <w:shd w:val="clear" w:color="auto" w:fill="F2DBDB" w:themeFill="accent2" w:themeFillTint="33"/>
          </w:tcPr>
          <w:p w:rsidR="00B45F7C" w:rsidRPr="00881D79" w:rsidRDefault="003E7C2A" w:rsidP="00B45F7C">
            <w:pPr>
              <w:autoSpaceDE w:val="0"/>
              <w:autoSpaceDN w:val="0"/>
              <w:adjustRightInd w:val="0"/>
              <w:spacing w:after="0" w:line="240" w:lineRule="auto"/>
              <w:jc w:val="both"/>
              <w:rPr>
                <w:rFonts w:ascii="Arial" w:hAnsi="Arial" w:cs="Arial"/>
                <w:color w:val="000000"/>
              </w:rPr>
            </w:pPr>
          </w:p>
        </w:tc>
        <w:tc>
          <w:tcPr>
            <w:tcW w:w="1418" w:type="dxa"/>
            <w:tcBorders>
              <w:top w:val="nil"/>
              <w:left w:val="single" w:sz="12" w:space="0" w:color="auto"/>
              <w:bottom w:val="single" w:sz="12" w:space="0" w:color="auto"/>
              <w:right w:val="single" w:sz="12" w:space="0" w:color="auto"/>
            </w:tcBorders>
          </w:tcPr>
          <w:p w:rsidR="00B45F7C" w:rsidRPr="00881D79" w:rsidRDefault="003E7C2A" w:rsidP="00B45F7C">
            <w:pPr>
              <w:autoSpaceDE w:val="0"/>
              <w:autoSpaceDN w:val="0"/>
              <w:adjustRightInd w:val="0"/>
              <w:spacing w:after="0" w:line="240" w:lineRule="auto"/>
              <w:jc w:val="both"/>
              <w:rPr>
                <w:rFonts w:ascii="Arial" w:hAnsi="Arial" w:cs="Arial"/>
                <w:color w:val="000000"/>
              </w:rPr>
            </w:pPr>
          </w:p>
        </w:tc>
      </w:tr>
    </w:tbl>
    <w:p w:rsidR="00B45F7C" w:rsidRPr="00881D79" w:rsidRDefault="00A44354" w:rsidP="00B45F7C">
      <w:pPr>
        <w:spacing w:after="0" w:line="240" w:lineRule="auto"/>
        <w:jc w:val="both"/>
        <w:rPr>
          <w:rFonts w:ascii="Arial" w:hAnsi="Arial" w:cs="Arial"/>
          <w:sz w:val="24"/>
          <w:szCs w:val="24"/>
        </w:rPr>
      </w:pPr>
      <w:r w:rsidRPr="00881D79">
        <w:rPr>
          <w:rFonts w:ascii="Arial" w:hAnsi="Arial" w:cs="Arial"/>
          <w:sz w:val="24"/>
          <w:szCs w:val="24"/>
        </w:rPr>
        <w:t>Source:  Homes England</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881D79">
      <w:pPr>
        <w:spacing w:after="0" w:line="240" w:lineRule="auto"/>
        <w:jc w:val="both"/>
        <w:rPr>
          <w:rFonts w:ascii="Arial" w:hAnsi="Arial" w:cs="Arial"/>
          <w:sz w:val="24"/>
          <w:szCs w:val="24"/>
        </w:rPr>
      </w:pPr>
      <w:r w:rsidRPr="00881D79">
        <w:rPr>
          <w:rFonts w:ascii="Arial" w:hAnsi="Arial" w:cs="Arial"/>
          <w:sz w:val="24"/>
          <w:szCs w:val="24"/>
          <w:vertAlign w:val="superscript"/>
        </w:rPr>
        <w:footnoteRef/>
      </w:r>
      <w:r w:rsidRPr="00881D79">
        <w:rPr>
          <w:rFonts w:ascii="Arial" w:hAnsi="Arial" w:cs="Arial"/>
          <w:sz w:val="24"/>
          <w:szCs w:val="24"/>
        </w:rPr>
        <w:t xml:space="preserve"> When referring to Homes England sites, for the purpose of this section of the table (construction actively taking place), each phase has been counted as a separate site. For example for Cottam Hall, Cottam Site K, Phase 2 and Phase 3 are being treated as three sites.</w:t>
      </w:r>
    </w:p>
    <w:p w:rsidR="00B45F7C" w:rsidRPr="00881D79" w:rsidRDefault="00A44354" w:rsidP="00881D79">
      <w:pPr>
        <w:spacing w:after="0" w:line="240" w:lineRule="auto"/>
        <w:jc w:val="both"/>
        <w:rPr>
          <w:rFonts w:ascii="Arial" w:hAnsi="Arial" w:cs="Arial"/>
          <w:sz w:val="24"/>
          <w:szCs w:val="24"/>
        </w:rPr>
      </w:pPr>
      <w:r w:rsidRPr="00881D79">
        <w:rPr>
          <w:rFonts w:ascii="Arial" w:hAnsi="Arial" w:cs="Arial"/>
          <w:sz w:val="24"/>
          <w:szCs w:val="24"/>
        </w:rPr>
        <w:t>** A cumulative figure is not appropriate as the amount of sites actively under construction carries forward year on year.</w:t>
      </w:r>
    </w:p>
    <w:p w:rsidR="00B45F7C" w:rsidRPr="00881D79" w:rsidRDefault="00A44354" w:rsidP="00881D79">
      <w:pPr>
        <w:spacing w:after="0" w:line="240" w:lineRule="auto"/>
        <w:jc w:val="both"/>
        <w:rPr>
          <w:rFonts w:ascii="Arial" w:hAnsi="Arial" w:cs="Arial"/>
          <w:sz w:val="24"/>
          <w:szCs w:val="24"/>
        </w:rPr>
      </w:pPr>
      <w:r w:rsidRPr="00881D79">
        <w:rPr>
          <w:rFonts w:ascii="Arial" w:hAnsi="Arial" w:cs="Arial"/>
          <w:sz w:val="24"/>
          <w:szCs w:val="24"/>
        </w:rPr>
        <w:t>*** This figure represents the cumulative variance; however the targets within the B</w:t>
      </w:r>
      <w:r w:rsidR="00881D79">
        <w:rPr>
          <w:rFonts w:ascii="Arial" w:hAnsi="Arial" w:cs="Arial"/>
          <w:sz w:val="24"/>
          <w:szCs w:val="24"/>
        </w:rPr>
        <w:t xml:space="preserve">usiness </w:t>
      </w:r>
      <w:r w:rsidRPr="00881D79">
        <w:rPr>
          <w:rFonts w:ascii="Arial" w:hAnsi="Arial" w:cs="Arial"/>
          <w:sz w:val="24"/>
          <w:szCs w:val="24"/>
        </w:rPr>
        <w:t>D</w:t>
      </w:r>
      <w:r w:rsidR="00881D79">
        <w:rPr>
          <w:rFonts w:ascii="Arial" w:hAnsi="Arial" w:cs="Arial"/>
          <w:sz w:val="24"/>
          <w:szCs w:val="24"/>
        </w:rPr>
        <w:t xml:space="preserve">elivery </w:t>
      </w:r>
      <w:r w:rsidRPr="00881D79">
        <w:rPr>
          <w:rFonts w:ascii="Arial" w:hAnsi="Arial" w:cs="Arial"/>
          <w:sz w:val="24"/>
          <w:szCs w:val="24"/>
        </w:rPr>
        <w:t>P</w:t>
      </w:r>
      <w:r w:rsidR="00881D79">
        <w:rPr>
          <w:rFonts w:ascii="Arial" w:hAnsi="Arial" w:cs="Arial"/>
          <w:sz w:val="24"/>
          <w:szCs w:val="24"/>
        </w:rPr>
        <w:t>lan</w:t>
      </w:r>
      <w:r w:rsidRPr="00881D79">
        <w:rPr>
          <w:rFonts w:ascii="Arial" w:hAnsi="Arial" w:cs="Arial"/>
          <w:sz w:val="24"/>
          <w:szCs w:val="24"/>
        </w:rPr>
        <w:t xml:space="preserve"> change annually based on current /past delivery.  It should be noted that in the earlier years of the Deal there was some under achievement</w:t>
      </w:r>
      <w:r>
        <w:rPr>
          <w:rFonts w:ascii="Arial" w:hAnsi="Arial" w:cs="Arial"/>
          <w:sz w:val="24"/>
          <w:szCs w:val="24"/>
        </w:rPr>
        <w:t xml:space="preserve"> </w:t>
      </w:r>
      <w:r w:rsidRPr="00881D79">
        <w:rPr>
          <w:rFonts w:ascii="Arial" w:hAnsi="Arial" w:cs="Arial"/>
          <w:sz w:val="24"/>
          <w:szCs w:val="24"/>
        </w:rPr>
        <w:t>compared to that of the targets however the past two years targets have been exceeded portraying strong build out rates as a number of outlets are now on site.</w:t>
      </w:r>
    </w:p>
    <w:p w:rsidR="00B45F7C" w:rsidRPr="00881D79" w:rsidRDefault="003E7C2A" w:rsidP="00881D79">
      <w:pPr>
        <w:spacing w:after="0" w:line="240" w:lineRule="auto"/>
        <w:jc w:val="both"/>
        <w:rPr>
          <w:rFonts w:ascii="Arial" w:hAnsi="Arial" w:cs="Arial"/>
          <w:sz w:val="24"/>
          <w:szCs w:val="24"/>
        </w:rPr>
      </w:pPr>
    </w:p>
    <w:p w:rsidR="00B45F7C" w:rsidRPr="00881D79" w:rsidRDefault="00A44354" w:rsidP="00B45F7C">
      <w:pPr>
        <w:tabs>
          <w:tab w:val="left" w:pos="426"/>
        </w:tabs>
        <w:spacing w:after="0" w:line="240" w:lineRule="auto"/>
        <w:jc w:val="both"/>
        <w:rPr>
          <w:rFonts w:ascii="Arial" w:hAnsi="Arial" w:cs="Arial"/>
          <w:b/>
          <w:sz w:val="24"/>
          <w:szCs w:val="24"/>
        </w:rPr>
      </w:pPr>
      <w:r w:rsidRPr="00881D79">
        <w:rPr>
          <w:rFonts w:ascii="Arial" w:hAnsi="Arial" w:cs="Arial"/>
          <w:b/>
          <w:sz w:val="24"/>
          <w:szCs w:val="24"/>
        </w:rPr>
        <w:lastRenderedPageBreak/>
        <w:t>3.0 Performance on Homes England Sites:</w:t>
      </w:r>
    </w:p>
    <w:p w:rsidR="00B45F7C" w:rsidRPr="00881D79" w:rsidRDefault="003E7C2A" w:rsidP="00B45F7C">
      <w:pPr>
        <w:tabs>
          <w:tab w:val="left" w:pos="426"/>
        </w:tabs>
        <w:spacing w:after="0" w:line="240" w:lineRule="auto"/>
        <w:jc w:val="both"/>
        <w:rPr>
          <w:rFonts w:ascii="Arial" w:hAnsi="Arial" w:cs="Arial"/>
          <w:b/>
          <w:sz w:val="24"/>
          <w:szCs w:val="24"/>
        </w:rPr>
      </w:pPr>
    </w:p>
    <w:p w:rsidR="00B45F7C" w:rsidRPr="00881D79" w:rsidRDefault="00A44354" w:rsidP="00881D79">
      <w:pPr>
        <w:spacing w:after="0" w:line="240" w:lineRule="auto"/>
        <w:ind w:left="426" w:hanging="426"/>
        <w:jc w:val="both"/>
        <w:rPr>
          <w:rFonts w:ascii="Arial" w:hAnsi="Arial" w:cs="Arial"/>
          <w:sz w:val="24"/>
          <w:szCs w:val="24"/>
        </w:rPr>
      </w:pPr>
      <w:r w:rsidRPr="00881D79">
        <w:rPr>
          <w:rFonts w:ascii="Arial" w:hAnsi="Arial" w:cs="Arial"/>
          <w:sz w:val="24"/>
          <w:szCs w:val="24"/>
        </w:rPr>
        <w:t xml:space="preserve">3.1 </w:t>
      </w:r>
      <w:r w:rsidRPr="00881D79">
        <w:rPr>
          <w:rFonts w:ascii="Arial" w:hAnsi="Arial" w:cs="Arial"/>
          <w:sz w:val="24"/>
          <w:szCs w:val="24"/>
        </w:rPr>
        <w:tab/>
        <w:t xml:space="preserve">Residential development is currently underway at 6 Homes England City Deal sites and developers are building out at pace. In 2017/18, 155 housing units completed against a forecast of 147. Two housing sites performed particularly well, with Croston Road South completing 46 new homes and Whittingham Phase 1 completing 39 new homes throughout the year.  One key residential site in South Ribble (Walton Park Link Road) achieved start on site within 2017/18 and will go on to deliver 280 new homes. Morris Homes had their Reserved Matters application approved at Cottam Hall Phase 3, which will result in them starting on site in 2018/19 on a development that will deliver 119 new homes. </w:t>
      </w:r>
    </w:p>
    <w:p w:rsidR="00B45F7C" w:rsidRPr="00881D79" w:rsidRDefault="003E7C2A" w:rsidP="00881D79">
      <w:pPr>
        <w:spacing w:after="0" w:line="240" w:lineRule="auto"/>
        <w:jc w:val="both"/>
        <w:rPr>
          <w:rFonts w:ascii="Arial" w:hAnsi="Arial" w:cs="Arial"/>
          <w:sz w:val="24"/>
          <w:szCs w:val="24"/>
        </w:rPr>
      </w:pPr>
    </w:p>
    <w:p w:rsidR="00B45F7C" w:rsidRPr="00881D79" w:rsidRDefault="00881D79" w:rsidP="00881D79">
      <w:pPr>
        <w:spacing w:after="0" w:line="240" w:lineRule="auto"/>
        <w:ind w:left="426" w:hanging="426"/>
        <w:jc w:val="both"/>
        <w:rPr>
          <w:rFonts w:ascii="Arial" w:hAnsi="Arial" w:cs="Arial"/>
          <w:sz w:val="24"/>
          <w:szCs w:val="24"/>
        </w:rPr>
      </w:pPr>
      <w:r>
        <w:rPr>
          <w:rFonts w:ascii="Arial" w:hAnsi="Arial" w:cs="Arial"/>
          <w:sz w:val="24"/>
          <w:szCs w:val="24"/>
        </w:rPr>
        <w:t xml:space="preserve">3.2 </w:t>
      </w:r>
      <w:r w:rsidR="00A44354" w:rsidRPr="00881D79">
        <w:rPr>
          <w:rFonts w:ascii="Arial" w:hAnsi="Arial" w:cs="Arial"/>
          <w:sz w:val="24"/>
          <w:szCs w:val="24"/>
        </w:rPr>
        <w:t>There are two Homes England sites in the City Deal which are complex and present delivery challenges, these being Pickering’s Farm and Whittingham Hospital. However progress has been made to overcome these challenges and, in both cases, steering groups have been established and multidisciplinary consultant teams have been appointed to further de</w:t>
      </w:r>
      <w:r>
        <w:rPr>
          <w:rFonts w:ascii="Arial" w:hAnsi="Arial" w:cs="Arial"/>
          <w:sz w:val="24"/>
          <w:szCs w:val="24"/>
        </w:rPr>
        <w:t>-</w:t>
      </w:r>
      <w:r w:rsidR="00A44354" w:rsidRPr="00881D79">
        <w:rPr>
          <w:rFonts w:ascii="Arial" w:hAnsi="Arial" w:cs="Arial"/>
          <w:sz w:val="24"/>
          <w:szCs w:val="24"/>
        </w:rPr>
        <w:t xml:space="preserve">risk the site and focus on resolving these delivery issues in order to move the sites forward. </w:t>
      </w:r>
    </w:p>
    <w:p w:rsidR="00B45F7C" w:rsidRPr="00881D79" w:rsidRDefault="003E7C2A" w:rsidP="00881D79">
      <w:pPr>
        <w:tabs>
          <w:tab w:val="left" w:pos="426"/>
        </w:tabs>
        <w:spacing w:after="0" w:line="240" w:lineRule="auto"/>
        <w:jc w:val="both"/>
        <w:rPr>
          <w:rFonts w:ascii="Arial" w:hAnsi="Arial" w:cs="Arial"/>
          <w:b/>
          <w:sz w:val="24"/>
          <w:szCs w:val="24"/>
        </w:rPr>
      </w:pPr>
    </w:p>
    <w:p w:rsidR="00B45F7C" w:rsidRPr="00881D79" w:rsidRDefault="00A44354" w:rsidP="00881D79">
      <w:pPr>
        <w:tabs>
          <w:tab w:val="left" w:pos="426"/>
        </w:tabs>
        <w:spacing w:after="0" w:line="240" w:lineRule="auto"/>
        <w:jc w:val="both"/>
        <w:rPr>
          <w:rFonts w:ascii="Arial" w:hAnsi="Arial" w:cs="Arial"/>
          <w:b/>
          <w:sz w:val="24"/>
          <w:szCs w:val="24"/>
        </w:rPr>
      </w:pPr>
      <w:r w:rsidRPr="00881D79">
        <w:rPr>
          <w:rFonts w:ascii="Arial" w:hAnsi="Arial" w:cs="Arial"/>
          <w:b/>
          <w:sz w:val="24"/>
          <w:szCs w:val="24"/>
        </w:rPr>
        <w:t>4.0 How we are working to progress housing delivery:</w:t>
      </w:r>
    </w:p>
    <w:p w:rsidR="00B45F7C" w:rsidRPr="00881D79" w:rsidRDefault="003E7C2A" w:rsidP="00A44354">
      <w:pPr>
        <w:tabs>
          <w:tab w:val="left" w:pos="426"/>
        </w:tabs>
        <w:spacing w:after="0" w:line="240" w:lineRule="auto"/>
        <w:jc w:val="both"/>
        <w:rPr>
          <w:rFonts w:ascii="Arial" w:hAnsi="Arial" w:cs="Arial"/>
          <w:sz w:val="24"/>
          <w:szCs w:val="24"/>
        </w:rPr>
      </w:pPr>
    </w:p>
    <w:p w:rsidR="00B45F7C" w:rsidRPr="00881D79" w:rsidRDefault="00A44354" w:rsidP="00A44354">
      <w:pPr>
        <w:tabs>
          <w:tab w:val="left" w:pos="426"/>
        </w:tabs>
        <w:spacing w:after="0" w:line="240" w:lineRule="auto"/>
        <w:ind w:left="426" w:hanging="426"/>
        <w:jc w:val="both"/>
        <w:rPr>
          <w:rFonts w:ascii="Arial" w:hAnsi="Arial" w:cs="Arial"/>
          <w:sz w:val="24"/>
          <w:szCs w:val="24"/>
        </w:rPr>
      </w:pPr>
      <w:r w:rsidRPr="00881D79">
        <w:rPr>
          <w:rFonts w:ascii="Arial" w:hAnsi="Arial" w:cs="Arial"/>
          <w:sz w:val="24"/>
          <w:szCs w:val="24"/>
        </w:rPr>
        <w:t>4.1 The Development Sites Del</w:t>
      </w:r>
      <w:r w:rsidR="0012770A">
        <w:rPr>
          <w:rFonts w:ascii="Arial" w:hAnsi="Arial" w:cs="Arial"/>
          <w:sz w:val="24"/>
          <w:szCs w:val="24"/>
        </w:rPr>
        <w:t xml:space="preserve">ivery Group </w:t>
      </w:r>
      <w:r w:rsidRPr="00881D79">
        <w:rPr>
          <w:rFonts w:ascii="Arial" w:hAnsi="Arial" w:cs="Arial"/>
          <w:sz w:val="24"/>
          <w:szCs w:val="24"/>
        </w:rPr>
        <w:t xml:space="preserve">continue to take a strategic role in overseeing the sites and are working with Hive consultants to explore next steps in understanding performance to date, identifying blockages to future performance and in particular working on solutions to ensure site delivery is optimised.  The findings and recommendations of this work are expected to be presented to the </w:t>
      </w:r>
      <w:r w:rsidR="0012770A">
        <w:rPr>
          <w:rFonts w:ascii="Arial" w:hAnsi="Arial" w:cs="Arial"/>
          <w:sz w:val="24"/>
          <w:szCs w:val="24"/>
        </w:rPr>
        <w:t xml:space="preserve">City Deal </w:t>
      </w:r>
      <w:r w:rsidRPr="00881D79">
        <w:rPr>
          <w:rFonts w:ascii="Arial" w:hAnsi="Arial" w:cs="Arial"/>
          <w:sz w:val="24"/>
          <w:szCs w:val="24"/>
        </w:rPr>
        <w:t>Executive in August.</w:t>
      </w:r>
    </w:p>
    <w:p w:rsidR="00B45F7C" w:rsidRPr="00881D79" w:rsidRDefault="003E7C2A" w:rsidP="00A44354">
      <w:pPr>
        <w:tabs>
          <w:tab w:val="left" w:pos="426"/>
        </w:tabs>
        <w:spacing w:after="0" w:line="240" w:lineRule="auto"/>
        <w:jc w:val="both"/>
        <w:rPr>
          <w:rFonts w:ascii="Arial" w:hAnsi="Arial" w:cs="Arial"/>
          <w:sz w:val="24"/>
          <w:szCs w:val="24"/>
        </w:rPr>
      </w:pPr>
    </w:p>
    <w:p w:rsidR="00B45F7C" w:rsidRPr="00881D79" w:rsidRDefault="00A44354" w:rsidP="00A44354">
      <w:pPr>
        <w:tabs>
          <w:tab w:val="left" w:pos="426"/>
        </w:tabs>
        <w:spacing w:after="0" w:line="240" w:lineRule="auto"/>
        <w:ind w:left="426" w:hanging="426"/>
        <w:jc w:val="both"/>
        <w:rPr>
          <w:rFonts w:ascii="Arial" w:hAnsi="Arial" w:cs="Arial"/>
          <w:sz w:val="24"/>
          <w:szCs w:val="24"/>
        </w:rPr>
      </w:pPr>
      <w:r w:rsidRPr="00881D79">
        <w:rPr>
          <w:rFonts w:ascii="Arial" w:hAnsi="Arial" w:cs="Arial"/>
          <w:sz w:val="24"/>
          <w:szCs w:val="24"/>
        </w:rPr>
        <w:t>4.2 Partners are engaged in a review of the local plan and City Deal will continue to form a part of officer discussions and the agenda of the Central Lancashir</w:t>
      </w:r>
      <w:r w:rsidR="0012770A">
        <w:rPr>
          <w:rFonts w:ascii="Arial" w:hAnsi="Arial" w:cs="Arial"/>
          <w:sz w:val="24"/>
          <w:szCs w:val="24"/>
        </w:rPr>
        <w:t>e Joint Advisory Committee</w:t>
      </w:r>
      <w:r w:rsidRPr="00881D79">
        <w:rPr>
          <w:rFonts w:ascii="Arial" w:hAnsi="Arial" w:cs="Arial"/>
          <w:sz w:val="24"/>
          <w:szCs w:val="24"/>
        </w:rPr>
        <w:t>.</w:t>
      </w:r>
    </w:p>
    <w:p w:rsidR="00B45F7C" w:rsidRPr="00881D79" w:rsidRDefault="003E7C2A" w:rsidP="00A44354">
      <w:pPr>
        <w:tabs>
          <w:tab w:val="left" w:pos="426"/>
        </w:tabs>
        <w:spacing w:after="0" w:line="240" w:lineRule="auto"/>
        <w:jc w:val="both"/>
        <w:rPr>
          <w:rFonts w:ascii="Arial" w:hAnsi="Arial" w:cs="Arial"/>
          <w:sz w:val="24"/>
          <w:szCs w:val="24"/>
        </w:rPr>
      </w:pPr>
    </w:p>
    <w:p w:rsidR="00B45F7C" w:rsidRPr="00881D79" w:rsidRDefault="00A44354" w:rsidP="00A44354">
      <w:pPr>
        <w:tabs>
          <w:tab w:val="left" w:pos="426"/>
        </w:tabs>
        <w:spacing w:after="0" w:line="240" w:lineRule="auto"/>
        <w:jc w:val="both"/>
        <w:rPr>
          <w:rFonts w:ascii="Arial" w:hAnsi="Arial" w:cs="Arial"/>
          <w:b/>
          <w:sz w:val="24"/>
          <w:szCs w:val="24"/>
        </w:rPr>
      </w:pPr>
      <w:r w:rsidRPr="00881D79">
        <w:rPr>
          <w:rFonts w:ascii="Arial" w:hAnsi="Arial" w:cs="Arial"/>
          <w:b/>
          <w:sz w:val="24"/>
          <w:szCs w:val="24"/>
        </w:rPr>
        <w:t xml:space="preserve">5.0  Notable progress has been made on the following named sites: </w:t>
      </w:r>
    </w:p>
    <w:p w:rsidR="00B45F7C" w:rsidRPr="00881D79" w:rsidRDefault="003E7C2A" w:rsidP="00A44354">
      <w:pPr>
        <w:tabs>
          <w:tab w:val="left" w:pos="426"/>
        </w:tabs>
        <w:spacing w:after="0" w:line="240" w:lineRule="auto"/>
        <w:jc w:val="both"/>
        <w:rPr>
          <w:rFonts w:ascii="Arial" w:hAnsi="Arial" w:cs="Arial"/>
          <w:b/>
          <w:sz w:val="24"/>
          <w:szCs w:val="24"/>
        </w:rPr>
      </w:pPr>
    </w:p>
    <w:p w:rsidR="00B45F7C" w:rsidRPr="00881D79" w:rsidRDefault="00A44354" w:rsidP="00A44354">
      <w:pPr>
        <w:tabs>
          <w:tab w:val="left" w:pos="426"/>
        </w:tabs>
        <w:spacing w:after="0" w:line="240" w:lineRule="auto"/>
        <w:ind w:left="426" w:hanging="426"/>
        <w:jc w:val="both"/>
        <w:rPr>
          <w:rFonts w:ascii="Arial" w:hAnsi="Arial" w:cs="Arial"/>
          <w:sz w:val="24"/>
          <w:szCs w:val="24"/>
        </w:rPr>
      </w:pPr>
      <w:r w:rsidRPr="00881D79">
        <w:rPr>
          <w:rFonts w:ascii="Arial" w:hAnsi="Arial" w:cs="Arial"/>
          <w:b/>
          <w:sz w:val="24"/>
          <w:szCs w:val="24"/>
        </w:rPr>
        <w:t>5.1</w:t>
      </w:r>
      <w:r w:rsidRPr="00881D79">
        <w:rPr>
          <w:rFonts w:ascii="Arial" w:hAnsi="Arial" w:cs="Arial"/>
          <w:b/>
          <w:sz w:val="24"/>
          <w:szCs w:val="24"/>
        </w:rPr>
        <w:tab/>
        <w:t>Haydock Grange – Hoyles Lane</w:t>
      </w:r>
      <w:r w:rsidRPr="00881D79">
        <w:rPr>
          <w:rFonts w:ascii="Arial" w:hAnsi="Arial" w:cs="Arial"/>
          <w:sz w:val="24"/>
          <w:szCs w:val="24"/>
        </w:rPr>
        <w:t xml:space="preserve"> - Phase 2, for 245 units has recently received reserved matters permission and the developer is anticipating to start on site early in 2019.</w:t>
      </w:r>
    </w:p>
    <w:p w:rsidR="00B45F7C" w:rsidRPr="00881D79" w:rsidRDefault="003E7C2A" w:rsidP="00A44354">
      <w:pPr>
        <w:tabs>
          <w:tab w:val="left" w:pos="426"/>
        </w:tabs>
        <w:spacing w:after="0" w:line="240" w:lineRule="auto"/>
        <w:jc w:val="both"/>
        <w:rPr>
          <w:rFonts w:ascii="Arial" w:hAnsi="Arial" w:cs="Arial"/>
          <w:sz w:val="24"/>
          <w:szCs w:val="24"/>
        </w:rPr>
      </w:pPr>
    </w:p>
    <w:p w:rsidR="00B45F7C" w:rsidRPr="00881D79" w:rsidRDefault="00A44354" w:rsidP="00A44354">
      <w:pPr>
        <w:tabs>
          <w:tab w:val="left" w:pos="426"/>
        </w:tabs>
        <w:spacing w:after="0" w:line="240" w:lineRule="auto"/>
        <w:ind w:left="426" w:hanging="426"/>
        <w:jc w:val="both"/>
        <w:rPr>
          <w:rFonts w:ascii="Arial" w:hAnsi="Arial" w:cs="Arial"/>
          <w:sz w:val="24"/>
          <w:szCs w:val="24"/>
        </w:rPr>
      </w:pPr>
      <w:r w:rsidRPr="00881D79">
        <w:rPr>
          <w:rFonts w:ascii="Arial" w:hAnsi="Arial" w:cs="Arial"/>
          <w:b/>
          <w:sz w:val="24"/>
          <w:szCs w:val="24"/>
        </w:rPr>
        <w:t>5.2</w:t>
      </w:r>
      <w:r w:rsidRPr="00881D79">
        <w:rPr>
          <w:rFonts w:ascii="Arial" w:hAnsi="Arial" w:cs="Arial"/>
          <w:b/>
          <w:sz w:val="24"/>
          <w:szCs w:val="24"/>
        </w:rPr>
        <w:tab/>
        <w:t>North of Eastway and Cottom Hall Phase 2</w:t>
      </w:r>
      <w:r w:rsidRPr="00881D79">
        <w:rPr>
          <w:rFonts w:ascii="Arial" w:hAnsi="Arial" w:cs="Arial"/>
          <w:sz w:val="24"/>
          <w:szCs w:val="24"/>
        </w:rPr>
        <w:t xml:space="preserve"> - Story Homes are progressing well at both of their sites, with a total number of 37 and 36 units completed within the year.</w:t>
      </w:r>
    </w:p>
    <w:p w:rsidR="00B45F7C" w:rsidRPr="00881D79" w:rsidRDefault="003E7C2A" w:rsidP="00A44354">
      <w:pPr>
        <w:tabs>
          <w:tab w:val="left" w:pos="426"/>
        </w:tabs>
        <w:spacing w:after="0" w:line="240" w:lineRule="auto"/>
        <w:jc w:val="both"/>
        <w:rPr>
          <w:rFonts w:ascii="Arial" w:hAnsi="Arial" w:cs="Arial"/>
          <w:sz w:val="24"/>
          <w:szCs w:val="24"/>
        </w:rPr>
      </w:pPr>
    </w:p>
    <w:p w:rsidR="00B45F7C" w:rsidRDefault="00A44354" w:rsidP="00A44354">
      <w:pPr>
        <w:tabs>
          <w:tab w:val="left" w:pos="426"/>
        </w:tabs>
        <w:spacing w:after="0" w:line="240" w:lineRule="auto"/>
        <w:ind w:left="426" w:hanging="426"/>
        <w:jc w:val="both"/>
        <w:rPr>
          <w:rFonts w:ascii="Arial" w:hAnsi="Arial" w:cs="Arial"/>
          <w:sz w:val="24"/>
          <w:szCs w:val="24"/>
        </w:rPr>
      </w:pPr>
      <w:r w:rsidRPr="00881D79">
        <w:rPr>
          <w:rFonts w:ascii="Arial" w:hAnsi="Arial" w:cs="Arial"/>
          <w:b/>
          <w:sz w:val="24"/>
          <w:szCs w:val="24"/>
        </w:rPr>
        <w:t>5.3</w:t>
      </w:r>
      <w:r w:rsidRPr="00881D79">
        <w:rPr>
          <w:rFonts w:ascii="Arial" w:hAnsi="Arial" w:cs="Arial"/>
          <w:b/>
          <w:sz w:val="24"/>
          <w:szCs w:val="24"/>
        </w:rPr>
        <w:tab/>
        <w:t>Altcar Lane</w:t>
      </w:r>
      <w:r w:rsidRPr="00881D79">
        <w:rPr>
          <w:rFonts w:ascii="Arial" w:hAnsi="Arial" w:cs="Arial"/>
          <w:sz w:val="24"/>
          <w:szCs w:val="24"/>
        </w:rPr>
        <w:t xml:space="preserve">- the approved masterplan provides for 600 dwellings split into two parts. Redrow have the greater part of the site and have Outline approval for 400 dwellings. A reserved matters application is currently under consideration for 232 dwellings. The southern part of the site is in the ownership of Homes England who have Outline Approval for 200 dwellings and a Reserved Matters application is </w:t>
      </w:r>
      <w:r w:rsidRPr="00881D79">
        <w:rPr>
          <w:rFonts w:ascii="Arial" w:hAnsi="Arial" w:cs="Arial"/>
          <w:sz w:val="24"/>
          <w:szCs w:val="24"/>
        </w:rPr>
        <w:lastRenderedPageBreak/>
        <w:t>expected in the next two months. As this part of the site is part of the accelerated construction programme with Homes England, a start on site is expected shortly after the determination of the Reserved Matters application</w:t>
      </w:r>
    </w:p>
    <w:p w:rsidR="00A44354" w:rsidRPr="00881D79" w:rsidRDefault="00A44354" w:rsidP="00A44354">
      <w:pPr>
        <w:tabs>
          <w:tab w:val="left" w:pos="426"/>
        </w:tabs>
        <w:spacing w:after="0" w:line="240" w:lineRule="auto"/>
        <w:ind w:left="426" w:hanging="426"/>
        <w:jc w:val="both"/>
        <w:rPr>
          <w:rFonts w:ascii="Arial" w:hAnsi="Arial" w:cs="Arial"/>
          <w:sz w:val="24"/>
          <w:szCs w:val="24"/>
        </w:rPr>
      </w:pPr>
    </w:p>
    <w:p w:rsidR="00B45F7C" w:rsidRDefault="00A44354" w:rsidP="00A44354">
      <w:pPr>
        <w:tabs>
          <w:tab w:val="left" w:pos="426"/>
        </w:tabs>
        <w:spacing w:after="0" w:line="240" w:lineRule="auto"/>
        <w:ind w:left="426" w:hanging="426"/>
        <w:jc w:val="both"/>
        <w:rPr>
          <w:rFonts w:ascii="Arial" w:hAnsi="Arial" w:cs="Arial"/>
          <w:sz w:val="24"/>
          <w:szCs w:val="24"/>
        </w:rPr>
      </w:pPr>
      <w:r w:rsidRPr="00881D79">
        <w:rPr>
          <w:rFonts w:ascii="Arial" w:hAnsi="Arial" w:cs="Arial"/>
          <w:b/>
          <w:sz w:val="24"/>
          <w:szCs w:val="24"/>
        </w:rPr>
        <w:t>5.4</w:t>
      </w:r>
      <w:r w:rsidRPr="00881D79">
        <w:rPr>
          <w:rFonts w:ascii="Arial" w:hAnsi="Arial" w:cs="Arial"/>
          <w:b/>
          <w:sz w:val="24"/>
          <w:szCs w:val="24"/>
        </w:rPr>
        <w:tab/>
        <w:t>Croston Road (southern end)</w:t>
      </w:r>
      <w:r w:rsidRPr="00881D79">
        <w:rPr>
          <w:rFonts w:ascii="Arial" w:hAnsi="Arial" w:cs="Arial"/>
          <w:sz w:val="24"/>
          <w:szCs w:val="24"/>
        </w:rPr>
        <w:t xml:space="preserve">   - Progressing at pace with Miller Homes building out their ermission for 175 units abutting Schleswig Way.</w:t>
      </w:r>
    </w:p>
    <w:p w:rsidR="00A44354" w:rsidRPr="00881D79" w:rsidRDefault="00A44354" w:rsidP="00A44354">
      <w:pPr>
        <w:tabs>
          <w:tab w:val="left" w:pos="426"/>
        </w:tabs>
        <w:spacing w:after="0" w:line="240" w:lineRule="auto"/>
        <w:ind w:left="426" w:hanging="426"/>
        <w:jc w:val="both"/>
        <w:rPr>
          <w:rFonts w:ascii="Arial" w:hAnsi="Arial" w:cs="Arial"/>
          <w:sz w:val="24"/>
          <w:szCs w:val="24"/>
        </w:rPr>
      </w:pPr>
    </w:p>
    <w:p w:rsidR="00B45F7C" w:rsidRDefault="00A44354" w:rsidP="00A44354">
      <w:pPr>
        <w:tabs>
          <w:tab w:val="left" w:pos="426"/>
        </w:tabs>
        <w:spacing w:after="0" w:line="240" w:lineRule="auto"/>
        <w:ind w:left="426" w:hanging="426"/>
        <w:jc w:val="both"/>
        <w:rPr>
          <w:rFonts w:ascii="Arial" w:hAnsi="Arial" w:cs="Arial"/>
          <w:sz w:val="24"/>
          <w:szCs w:val="24"/>
        </w:rPr>
      </w:pPr>
      <w:r w:rsidRPr="00881D79">
        <w:rPr>
          <w:rFonts w:ascii="Arial" w:hAnsi="Arial" w:cs="Arial"/>
          <w:b/>
          <w:sz w:val="24"/>
          <w:szCs w:val="24"/>
        </w:rPr>
        <w:t>5.5</w:t>
      </w:r>
      <w:r w:rsidRPr="00881D79">
        <w:rPr>
          <w:rFonts w:ascii="Arial" w:hAnsi="Arial" w:cs="Arial"/>
          <w:b/>
          <w:sz w:val="24"/>
          <w:szCs w:val="24"/>
        </w:rPr>
        <w:tab/>
        <w:t>Wesley Street Mill</w:t>
      </w:r>
      <w:r w:rsidRPr="00881D79">
        <w:rPr>
          <w:rFonts w:ascii="Arial" w:hAnsi="Arial" w:cs="Arial"/>
          <w:sz w:val="24"/>
          <w:szCs w:val="24"/>
        </w:rPr>
        <w:t xml:space="preserve"> – Reserved matters consent secured (196 dwellings) and work started on site in April 2018.</w:t>
      </w:r>
    </w:p>
    <w:p w:rsidR="00A44354" w:rsidRPr="00881D79" w:rsidRDefault="00A44354" w:rsidP="00A44354">
      <w:pPr>
        <w:tabs>
          <w:tab w:val="left" w:pos="426"/>
        </w:tabs>
        <w:spacing w:after="0" w:line="240" w:lineRule="auto"/>
        <w:ind w:left="426" w:hanging="426"/>
        <w:jc w:val="both"/>
        <w:rPr>
          <w:rFonts w:ascii="Arial" w:hAnsi="Arial" w:cs="Arial"/>
          <w:sz w:val="24"/>
          <w:szCs w:val="24"/>
        </w:rPr>
      </w:pPr>
    </w:p>
    <w:p w:rsidR="00B45F7C" w:rsidRDefault="00A44354" w:rsidP="00A44354">
      <w:pPr>
        <w:tabs>
          <w:tab w:val="left" w:pos="426"/>
        </w:tabs>
        <w:spacing w:after="0" w:line="240" w:lineRule="auto"/>
        <w:ind w:left="426" w:hanging="426"/>
        <w:jc w:val="both"/>
        <w:rPr>
          <w:rFonts w:ascii="Arial" w:hAnsi="Arial" w:cs="Arial"/>
          <w:sz w:val="24"/>
          <w:szCs w:val="24"/>
        </w:rPr>
      </w:pPr>
      <w:r w:rsidRPr="00881D79">
        <w:rPr>
          <w:rFonts w:ascii="Arial" w:hAnsi="Arial" w:cs="Arial"/>
          <w:b/>
          <w:sz w:val="24"/>
          <w:szCs w:val="24"/>
        </w:rPr>
        <w:t>5.6</w:t>
      </w:r>
      <w:r w:rsidRPr="00881D79">
        <w:rPr>
          <w:rFonts w:ascii="Arial" w:hAnsi="Arial" w:cs="Arial"/>
          <w:b/>
          <w:sz w:val="24"/>
          <w:szCs w:val="24"/>
        </w:rPr>
        <w:tab/>
        <w:t xml:space="preserve">Moss Side Test Track </w:t>
      </w:r>
      <w:r w:rsidRPr="00881D79">
        <w:rPr>
          <w:rFonts w:ascii="Arial" w:hAnsi="Arial" w:cs="Arial"/>
          <w:sz w:val="24"/>
          <w:szCs w:val="24"/>
        </w:rPr>
        <w:t>- The Masterplan for Moss Side Test Track was approved in July 2017 for a mixed use scheme which included up to 950 dwellings. A hybrid planning application reflecting the Masterplan, was submitted in November 2017. It is anticipated that the application for 197 units in full and 753 in outline will be determined in September 2018.</w:t>
      </w:r>
    </w:p>
    <w:p w:rsidR="00A44354" w:rsidRPr="00881D79" w:rsidRDefault="00A44354" w:rsidP="00A44354">
      <w:pPr>
        <w:tabs>
          <w:tab w:val="left" w:pos="426"/>
        </w:tabs>
        <w:spacing w:after="0" w:line="240" w:lineRule="auto"/>
        <w:ind w:left="426" w:hanging="426"/>
        <w:jc w:val="both"/>
        <w:rPr>
          <w:rFonts w:ascii="Arial" w:hAnsi="Arial" w:cs="Arial"/>
          <w:b/>
          <w:sz w:val="24"/>
          <w:szCs w:val="24"/>
        </w:rPr>
      </w:pPr>
    </w:p>
    <w:p w:rsidR="00B45F7C" w:rsidRPr="00881D79" w:rsidRDefault="00A44354" w:rsidP="00A44354">
      <w:pPr>
        <w:tabs>
          <w:tab w:val="left" w:pos="426"/>
        </w:tabs>
        <w:spacing w:after="0" w:line="240" w:lineRule="auto"/>
        <w:jc w:val="both"/>
        <w:rPr>
          <w:rFonts w:ascii="Arial" w:hAnsi="Arial" w:cs="Arial"/>
          <w:b/>
          <w:sz w:val="24"/>
          <w:szCs w:val="24"/>
        </w:rPr>
      </w:pPr>
      <w:r w:rsidRPr="00881D79">
        <w:rPr>
          <w:rFonts w:ascii="Arial" w:hAnsi="Arial" w:cs="Arial"/>
          <w:b/>
          <w:sz w:val="24"/>
          <w:szCs w:val="24"/>
        </w:rPr>
        <w:t>5.7</w:t>
      </w:r>
      <w:r w:rsidRPr="00881D79">
        <w:rPr>
          <w:rFonts w:ascii="Arial" w:hAnsi="Arial" w:cs="Arial"/>
          <w:b/>
          <w:sz w:val="24"/>
          <w:szCs w:val="24"/>
        </w:rPr>
        <w:tab/>
        <w:t>The following sites have not progressed as anticipated:</w:t>
      </w:r>
    </w:p>
    <w:p w:rsidR="00B45F7C" w:rsidRPr="00881D79" w:rsidRDefault="003E7C2A" w:rsidP="00A44354">
      <w:pPr>
        <w:spacing w:after="0" w:line="240" w:lineRule="auto"/>
        <w:jc w:val="both"/>
        <w:rPr>
          <w:rFonts w:ascii="Arial" w:hAnsi="Arial" w:cs="Arial"/>
          <w:sz w:val="24"/>
          <w:szCs w:val="24"/>
        </w:rPr>
      </w:pPr>
    </w:p>
    <w:p w:rsidR="00B45F7C" w:rsidRPr="00881D79" w:rsidRDefault="00A44354" w:rsidP="00A44354">
      <w:pPr>
        <w:spacing w:after="0" w:line="240" w:lineRule="auto"/>
        <w:ind w:left="426" w:hanging="426"/>
        <w:jc w:val="both"/>
        <w:rPr>
          <w:rFonts w:ascii="Arial" w:hAnsi="Arial" w:cs="Arial"/>
          <w:sz w:val="24"/>
          <w:szCs w:val="24"/>
        </w:rPr>
      </w:pPr>
      <w:r w:rsidRPr="00881D79">
        <w:rPr>
          <w:rFonts w:ascii="Arial" w:hAnsi="Arial" w:cs="Arial"/>
          <w:b/>
          <w:sz w:val="24"/>
          <w:szCs w:val="24"/>
        </w:rPr>
        <w:t>5.8</w:t>
      </w:r>
      <w:r w:rsidRPr="00881D79">
        <w:rPr>
          <w:rFonts w:ascii="Arial" w:hAnsi="Arial" w:cs="Arial"/>
          <w:b/>
          <w:sz w:val="24"/>
          <w:szCs w:val="24"/>
        </w:rPr>
        <w:tab/>
        <w:t xml:space="preserve">Small allocated sites </w:t>
      </w:r>
      <w:r w:rsidRPr="00881D79">
        <w:rPr>
          <w:rFonts w:ascii="Arial" w:hAnsi="Arial" w:cs="Arial"/>
          <w:sz w:val="24"/>
          <w:szCs w:val="24"/>
        </w:rPr>
        <w:t xml:space="preserve">– in Preston a number of allocated sites, with the potential of around 225 units collectively have been pushed back in the housing trajectories by around 3 years or have been removed from the 5 year housing land supply completely.  </w:t>
      </w:r>
    </w:p>
    <w:p w:rsidR="00B45F7C" w:rsidRPr="00881D79" w:rsidRDefault="003E7C2A" w:rsidP="00A44354">
      <w:pPr>
        <w:spacing w:after="0" w:line="240" w:lineRule="auto"/>
        <w:jc w:val="both"/>
        <w:rPr>
          <w:rFonts w:ascii="Arial" w:hAnsi="Arial" w:cs="Arial"/>
          <w:sz w:val="24"/>
          <w:szCs w:val="24"/>
        </w:rPr>
      </w:pPr>
    </w:p>
    <w:p w:rsidR="00B45F7C" w:rsidRDefault="00A44354" w:rsidP="00A44354">
      <w:pPr>
        <w:tabs>
          <w:tab w:val="left" w:pos="426"/>
        </w:tabs>
        <w:spacing w:after="0" w:line="240" w:lineRule="auto"/>
        <w:ind w:left="420" w:hanging="420"/>
        <w:jc w:val="both"/>
        <w:rPr>
          <w:rFonts w:ascii="Arial" w:hAnsi="Arial" w:cs="Arial"/>
          <w:sz w:val="24"/>
          <w:szCs w:val="24"/>
        </w:rPr>
      </w:pPr>
      <w:r w:rsidRPr="00881D79">
        <w:rPr>
          <w:rFonts w:ascii="Arial" w:hAnsi="Arial" w:cs="Arial"/>
          <w:b/>
          <w:sz w:val="24"/>
          <w:szCs w:val="24"/>
        </w:rPr>
        <w:t>5.9</w:t>
      </w:r>
      <w:r w:rsidRPr="00881D79">
        <w:rPr>
          <w:rFonts w:ascii="Arial" w:hAnsi="Arial" w:cs="Arial"/>
          <w:b/>
          <w:sz w:val="24"/>
          <w:szCs w:val="24"/>
        </w:rPr>
        <w:tab/>
      </w:r>
      <w:r w:rsidRPr="00881D79">
        <w:rPr>
          <w:rFonts w:ascii="Arial" w:hAnsi="Arial" w:cs="Arial"/>
          <w:b/>
          <w:sz w:val="24"/>
          <w:szCs w:val="24"/>
        </w:rPr>
        <w:tab/>
        <w:t>Pickering’s Farm</w:t>
      </w:r>
      <w:r w:rsidRPr="00881D79">
        <w:rPr>
          <w:rFonts w:ascii="Arial" w:hAnsi="Arial" w:cs="Arial"/>
          <w:sz w:val="24"/>
          <w:szCs w:val="24"/>
        </w:rPr>
        <w:t xml:space="preserve"> - Work to prepare a masterplan has awaited collaboration arrangements between the site's two principal developer interests, Homes England and Taylor Wimpey. The early stages of the Master plan preparation have however commenced with the formation of a working group, and a number of meetings have taken place.</w:t>
      </w:r>
    </w:p>
    <w:p w:rsidR="00A44354" w:rsidRPr="00881D79" w:rsidRDefault="00A44354" w:rsidP="00A44354">
      <w:pPr>
        <w:tabs>
          <w:tab w:val="left" w:pos="426"/>
        </w:tabs>
        <w:spacing w:after="0" w:line="240" w:lineRule="auto"/>
        <w:jc w:val="both"/>
        <w:rPr>
          <w:rFonts w:ascii="Arial" w:hAnsi="Arial" w:cs="Arial"/>
          <w:sz w:val="24"/>
          <w:szCs w:val="24"/>
        </w:rPr>
      </w:pPr>
    </w:p>
    <w:p w:rsidR="00B45F7C" w:rsidRDefault="00A44354" w:rsidP="00A44354">
      <w:pPr>
        <w:tabs>
          <w:tab w:val="left" w:pos="426"/>
        </w:tabs>
        <w:spacing w:after="0" w:line="240" w:lineRule="auto"/>
        <w:ind w:left="426" w:hanging="426"/>
        <w:jc w:val="both"/>
        <w:rPr>
          <w:rFonts w:ascii="Arial" w:hAnsi="Arial" w:cs="Arial"/>
          <w:sz w:val="24"/>
          <w:szCs w:val="24"/>
        </w:rPr>
      </w:pPr>
      <w:r w:rsidRPr="00881D79">
        <w:rPr>
          <w:rFonts w:ascii="Arial" w:hAnsi="Arial" w:cs="Arial"/>
          <w:b/>
          <w:sz w:val="24"/>
          <w:szCs w:val="24"/>
        </w:rPr>
        <w:t>5.10Brindle Road</w:t>
      </w:r>
      <w:r w:rsidRPr="00881D79">
        <w:rPr>
          <w:rFonts w:ascii="Arial" w:hAnsi="Arial" w:cs="Arial"/>
          <w:sz w:val="24"/>
          <w:szCs w:val="24"/>
        </w:rPr>
        <w:t xml:space="preserve"> – Planning applications refused – Persimmon (261 units) and Bellway (193 units). Bellway have appealed this refusal and the application will be heard at a Public Inquiry (August 2018).</w:t>
      </w:r>
    </w:p>
    <w:p w:rsidR="00A44354" w:rsidRPr="00881D79" w:rsidRDefault="00A44354" w:rsidP="00A44354">
      <w:pPr>
        <w:tabs>
          <w:tab w:val="left" w:pos="426"/>
        </w:tabs>
        <w:spacing w:after="0" w:line="240" w:lineRule="auto"/>
        <w:jc w:val="both"/>
        <w:rPr>
          <w:rFonts w:ascii="Arial" w:hAnsi="Arial" w:cs="Arial"/>
          <w:sz w:val="24"/>
          <w:szCs w:val="24"/>
        </w:rPr>
      </w:pPr>
    </w:p>
    <w:p w:rsidR="00B45F7C" w:rsidRDefault="00A44354" w:rsidP="00A44354">
      <w:pPr>
        <w:tabs>
          <w:tab w:val="left" w:pos="426"/>
        </w:tabs>
        <w:spacing w:after="0" w:line="240" w:lineRule="auto"/>
        <w:ind w:left="426" w:hanging="568"/>
        <w:jc w:val="both"/>
        <w:rPr>
          <w:rFonts w:ascii="Arial" w:hAnsi="Arial" w:cs="Arial"/>
          <w:sz w:val="24"/>
          <w:szCs w:val="24"/>
        </w:rPr>
      </w:pPr>
      <w:r w:rsidRPr="00881D79">
        <w:rPr>
          <w:rFonts w:ascii="Arial" w:hAnsi="Arial" w:cs="Arial"/>
          <w:b/>
          <w:sz w:val="24"/>
          <w:szCs w:val="24"/>
        </w:rPr>
        <w:t>5.11Heatherleigh/Croston Road</w:t>
      </w:r>
      <w:r w:rsidRPr="00881D79">
        <w:rPr>
          <w:rFonts w:ascii="Arial" w:hAnsi="Arial" w:cs="Arial"/>
          <w:sz w:val="24"/>
          <w:szCs w:val="24"/>
        </w:rPr>
        <w:t xml:space="preserve"> - Parts of this site face challenges with land in multiple ownership but progress is being made between the interested parties to resolve this.  Homes England have now increased their land ownership in the northern section of the site which will assist delivery.</w:t>
      </w:r>
    </w:p>
    <w:p w:rsidR="00A44354" w:rsidRPr="00881D79" w:rsidRDefault="00A44354" w:rsidP="00A44354">
      <w:pPr>
        <w:tabs>
          <w:tab w:val="left" w:pos="426"/>
        </w:tabs>
        <w:spacing w:after="0" w:line="240" w:lineRule="auto"/>
        <w:jc w:val="both"/>
        <w:rPr>
          <w:rFonts w:ascii="Arial" w:hAnsi="Arial" w:cs="Arial"/>
          <w:sz w:val="24"/>
          <w:szCs w:val="24"/>
        </w:rPr>
      </w:pPr>
    </w:p>
    <w:p w:rsidR="00B45F7C" w:rsidRPr="00881D79" w:rsidRDefault="00A44354" w:rsidP="00A44354">
      <w:pPr>
        <w:tabs>
          <w:tab w:val="left" w:pos="426"/>
        </w:tabs>
        <w:spacing w:after="0" w:line="240" w:lineRule="auto"/>
        <w:ind w:left="426" w:hanging="426"/>
        <w:jc w:val="both"/>
        <w:rPr>
          <w:rFonts w:ascii="Arial" w:hAnsi="Arial" w:cs="Arial"/>
          <w:sz w:val="24"/>
          <w:szCs w:val="24"/>
        </w:rPr>
      </w:pPr>
      <w:r w:rsidRPr="00881D79">
        <w:rPr>
          <w:rFonts w:ascii="Arial" w:hAnsi="Arial" w:cs="Arial"/>
          <w:b/>
          <w:sz w:val="24"/>
          <w:szCs w:val="24"/>
        </w:rPr>
        <w:t>5.12Land to the north and south of the Cawsey</w:t>
      </w:r>
      <w:r w:rsidRPr="00881D79">
        <w:rPr>
          <w:rFonts w:ascii="Arial" w:hAnsi="Arial" w:cs="Arial"/>
          <w:sz w:val="24"/>
          <w:szCs w:val="24"/>
        </w:rPr>
        <w:t xml:space="preserve"> (Bovis and Morris) was delayed because of the Planning Appeal for an access through the Sumpter Horse which in turn delayed negotiations for the completion of the Cross Borough Link Road. The appeal was successful for the developer and permission was given for access off Leyland Road. Negotiations however are still ongoing to access the site from the link road which is the preferred planning option. The site is being marketed by Bovis but there doesn’t appear to be a prospective purchaser at this stage. Morris are now commencing on site and it is envisaged once the legal agreements are finalised the link road will commence in the near future.</w:t>
      </w:r>
    </w:p>
    <w:p w:rsidR="00B45F7C" w:rsidRPr="00881D79" w:rsidRDefault="00A44354" w:rsidP="00B45F7C">
      <w:pPr>
        <w:spacing w:after="0" w:line="240" w:lineRule="auto"/>
        <w:jc w:val="both"/>
        <w:rPr>
          <w:rFonts w:ascii="Arial" w:hAnsi="Arial" w:cs="Arial"/>
          <w:b/>
          <w:sz w:val="24"/>
          <w:szCs w:val="24"/>
        </w:rPr>
      </w:pPr>
      <w:r w:rsidRPr="00881D79">
        <w:rPr>
          <w:rFonts w:ascii="Arial" w:hAnsi="Arial" w:cs="Arial"/>
          <w:b/>
          <w:sz w:val="24"/>
          <w:szCs w:val="24"/>
        </w:rPr>
        <w:lastRenderedPageBreak/>
        <w:t>6.0 Key Risks and issues in relation to housing outputs:</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B45F7C">
      <w:pPr>
        <w:spacing w:after="0" w:line="240" w:lineRule="auto"/>
        <w:ind w:left="426" w:hanging="426"/>
        <w:jc w:val="both"/>
        <w:rPr>
          <w:rFonts w:ascii="Arial" w:hAnsi="Arial" w:cs="Arial"/>
          <w:sz w:val="24"/>
          <w:szCs w:val="24"/>
        </w:rPr>
      </w:pPr>
      <w:r w:rsidRPr="00881D79">
        <w:rPr>
          <w:rFonts w:ascii="Arial" w:hAnsi="Arial" w:cs="Arial"/>
          <w:sz w:val="24"/>
          <w:szCs w:val="24"/>
        </w:rPr>
        <w:t xml:space="preserve">6.1 A comparison of target and actual housing outputs over the last year suggests strong performance, although this performance is characterised by a reliance on non-City Deal sites.  Both districts have performed well against their target completions.  Notably, North West Preston sites delivered more than one-third of all the year's housing completions.  Elsewhere, a sizeable proportion of completions (one-third) were delivered on windfall sites.  As noted above, several of South Ribble's larger sites in particular have not progressed as anticipated.  </w:t>
      </w:r>
    </w:p>
    <w:p w:rsidR="00B45F7C" w:rsidRPr="00881D79" w:rsidRDefault="003E7C2A" w:rsidP="00B45F7C">
      <w:pPr>
        <w:spacing w:after="0" w:line="240" w:lineRule="auto"/>
        <w:ind w:left="426" w:hanging="426"/>
        <w:jc w:val="both"/>
        <w:rPr>
          <w:rFonts w:ascii="Arial" w:hAnsi="Arial" w:cs="Arial"/>
          <w:sz w:val="24"/>
          <w:szCs w:val="24"/>
        </w:rPr>
      </w:pPr>
    </w:p>
    <w:p w:rsidR="00B45F7C" w:rsidRPr="00881D79" w:rsidRDefault="00A44354" w:rsidP="00B45F7C">
      <w:pPr>
        <w:spacing w:after="0" w:line="240" w:lineRule="auto"/>
        <w:ind w:left="426" w:hanging="426"/>
        <w:jc w:val="both"/>
        <w:rPr>
          <w:rFonts w:ascii="Arial" w:hAnsi="Arial" w:cs="Arial"/>
          <w:sz w:val="24"/>
          <w:szCs w:val="24"/>
        </w:rPr>
      </w:pPr>
      <w:r w:rsidRPr="00881D79">
        <w:rPr>
          <w:rFonts w:ascii="Arial" w:hAnsi="Arial" w:cs="Arial"/>
          <w:sz w:val="24"/>
          <w:szCs w:val="24"/>
        </w:rPr>
        <w:t xml:space="preserve">6.2 Houses submitted or consented for planning during the year show a similar trend in windfalls being brought forward and some larger City Deal sites not progressing as expected.  Housing units submitted for planning have far exceeded targets in both districts, although performance for consents is mixed, with 1,000 units over target consented in Preston compensating for a shortfall in South Ribble.  Generally, windfalls make up a notable amount of submissions and consents during the year.  </w:t>
      </w:r>
    </w:p>
    <w:p w:rsidR="00B45F7C" w:rsidRPr="00881D79" w:rsidRDefault="003E7C2A" w:rsidP="00B45F7C">
      <w:pPr>
        <w:spacing w:after="0" w:line="240" w:lineRule="auto"/>
        <w:jc w:val="both"/>
        <w:rPr>
          <w:rFonts w:ascii="Arial" w:hAnsi="Arial" w:cs="Arial"/>
          <w:sz w:val="24"/>
          <w:szCs w:val="24"/>
        </w:rPr>
      </w:pPr>
    </w:p>
    <w:p w:rsidR="00B45F7C" w:rsidRDefault="00A44354" w:rsidP="0012770A">
      <w:pPr>
        <w:spacing w:after="0" w:line="240" w:lineRule="auto"/>
        <w:ind w:left="426" w:hanging="426"/>
        <w:jc w:val="both"/>
        <w:rPr>
          <w:rFonts w:ascii="Arial" w:hAnsi="Arial" w:cs="Arial"/>
          <w:sz w:val="24"/>
          <w:szCs w:val="24"/>
        </w:rPr>
      </w:pPr>
      <w:r w:rsidRPr="00881D79">
        <w:rPr>
          <w:rFonts w:ascii="Arial" w:hAnsi="Arial" w:cs="Arial"/>
          <w:sz w:val="24"/>
          <w:szCs w:val="24"/>
        </w:rPr>
        <w:t xml:space="preserve">6.3 Whilst the numbers of housing units submitted and consented during the year bodes well for future housing delivery performance, the numbers being delivered on windfall sites presents an immediate and ongoing challenge to the City Deal financial position where those sites do not bring an income to the fund.  This may also challenge the housing market's ability and their pace in bringing City Deal housing sites forward, with similar financial consequences. </w:t>
      </w:r>
    </w:p>
    <w:p w:rsidR="0012770A" w:rsidRPr="00881D79" w:rsidRDefault="0012770A" w:rsidP="0012770A">
      <w:pPr>
        <w:spacing w:after="0" w:line="240" w:lineRule="auto"/>
        <w:ind w:left="426" w:hanging="426"/>
        <w:jc w:val="both"/>
        <w:rPr>
          <w:rFonts w:ascii="Arial" w:hAnsi="Arial" w:cs="Arial"/>
          <w:sz w:val="24"/>
          <w:szCs w:val="24"/>
        </w:rPr>
      </w:pPr>
    </w:p>
    <w:p w:rsidR="00B45F7C" w:rsidRPr="00881D79" w:rsidRDefault="00A44354" w:rsidP="00B45F7C">
      <w:pPr>
        <w:spacing w:after="0" w:line="240" w:lineRule="auto"/>
        <w:jc w:val="both"/>
        <w:rPr>
          <w:rFonts w:ascii="Arial" w:hAnsi="Arial" w:cs="Arial"/>
          <w:b/>
          <w:sz w:val="24"/>
          <w:szCs w:val="24"/>
        </w:rPr>
      </w:pPr>
      <w:r w:rsidRPr="00881D79">
        <w:rPr>
          <w:rFonts w:ascii="Arial" w:hAnsi="Arial" w:cs="Arial"/>
          <w:b/>
          <w:sz w:val="24"/>
          <w:szCs w:val="24"/>
        </w:rPr>
        <w:t xml:space="preserve">7.0 Commercial Floorspace Outputs </w:t>
      </w:r>
    </w:p>
    <w:p w:rsidR="00B45F7C" w:rsidRPr="00881D79" w:rsidRDefault="003E7C2A" w:rsidP="00B45F7C">
      <w:pPr>
        <w:spacing w:after="0" w:line="240" w:lineRule="auto"/>
        <w:jc w:val="both"/>
        <w:rPr>
          <w:rFonts w:ascii="Arial" w:hAnsi="Arial" w:cs="Arial"/>
          <w:b/>
          <w:sz w:val="24"/>
          <w:szCs w:val="24"/>
        </w:rPr>
      </w:pPr>
    </w:p>
    <w:p w:rsidR="00B45F7C" w:rsidRPr="00881D79" w:rsidRDefault="00A44354" w:rsidP="00B45F7C">
      <w:pPr>
        <w:spacing w:after="0" w:line="240" w:lineRule="auto"/>
        <w:jc w:val="both"/>
        <w:rPr>
          <w:rFonts w:ascii="Arial" w:hAnsi="Arial" w:cs="Arial"/>
          <w:b/>
          <w:sz w:val="24"/>
          <w:szCs w:val="24"/>
        </w:rPr>
      </w:pPr>
      <w:r w:rsidRPr="00881D79">
        <w:rPr>
          <w:rFonts w:ascii="Arial" w:hAnsi="Arial" w:cs="Arial"/>
          <w:b/>
          <w:sz w:val="24"/>
          <w:szCs w:val="24"/>
        </w:rPr>
        <w:t xml:space="preserve">7.1 Completions </w:t>
      </w:r>
    </w:p>
    <w:p w:rsidR="00B45F7C" w:rsidRPr="00881D79" w:rsidRDefault="003E7C2A" w:rsidP="00B45F7C">
      <w:pPr>
        <w:spacing w:after="0" w:line="240" w:lineRule="auto"/>
        <w:jc w:val="both"/>
        <w:rPr>
          <w:rFonts w:ascii="Arial" w:hAnsi="Arial" w:cs="Arial"/>
          <w:b/>
          <w:sz w:val="24"/>
          <w:szCs w:val="24"/>
        </w:rPr>
      </w:pPr>
    </w:p>
    <w:p w:rsidR="00B45F7C" w:rsidRPr="00881D79" w:rsidRDefault="00A44354" w:rsidP="00B45F7C">
      <w:pPr>
        <w:spacing w:after="0" w:line="240" w:lineRule="auto"/>
        <w:ind w:left="426" w:hanging="426"/>
        <w:jc w:val="both"/>
        <w:rPr>
          <w:rFonts w:ascii="Arial" w:hAnsi="Arial" w:cs="Arial"/>
          <w:sz w:val="24"/>
          <w:szCs w:val="24"/>
        </w:rPr>
      </w:pPr>
      <w:r w:rsidRPr="00881D79">
        <w:rPr>
          <w:rFonts w:ascii="Arial" w:hAnsi="Arial" w:cs="Arial"/>
          <w:sz w:val="24"/>
          <w:szCs w:val="24"/>
        </w:rPr>
        <w:t xml:space="preserve">7.2 Overall in year 4 there has been a relatively strong performance of completions against targets with </w:t>
      </w:r>
      <w:r w:rsidRPr="00881D79">
        <w:rPr>
          <w:rFonts w:ascii="Arial" w:hAnsi="Arial" w:cs="Arial"/>
          <w:b/>
          <w:sz w:val="24"/>
          <w:szCs w:val="24"/>
        </w:rPr>
        <w:t>9,635</w:t>
      </w:r>
      <w:r w:rsidRPr="00881D79">
        <w:rPr>
          <w:rFonts w:ascii="Arial" w:hAnsi="Arial" w:cs="Arial"/>
          <w:b/>
          <w:color w:val="FF0000"/>
          <w:sz w:val="24"/>
          <w:szCs w:val="24"/>
        </w:rPr>
        <w:t xml:space="preserve"> </w:t>
      </w:r>
      <w:r w:rsidRPr="00881D79">
        <w:rPr>
          <w:rFonts w:ascii="Arial" w:hAnsi="Arial" w:cs="Arial"/>
          <w:b/>
          <w:sz w:val="24"/>
          <w:szCs w:val="24"/>
        </w:rPr>
        <w:t>sq m</w:t>
      </w:r>
      <w:r w:rsidRPr="00881D79">
        <w:rPr>
          <w:rFonts w:ascii="Arial" w:hAnsi="Arial" w:cs="Arial"/>
          <w:sz w:val="24"/>
          <w:szCs w:val="24"/>
        </w:rPr>
        <w:t xml:space="preserve"> of commercial floorspace completions compared with the target of </w:t>
      </w:r>
      <w:r w:rsidRPr="00881D79">
        <w:rPr>
          <w:rFonts w:ascii="Arial" w:hAnsi="Arial" w:cs="Arial"/>
          <w:b/>
          <w:sz w:val="24"/>
          <w:szCs w:val="24"/>
        </w:rPr>
        <w:t>2,640</w:t>
      </w:r>
      <w:r w:rsidRPr="00881D79">
        <w:rPr>
          <w:rFonts w:ascii="Arial" w:hAnsi="Arial" w:cs="Arial"/>
          <w:b/>
          <w:color w:val="FF0000"/>
          <w:sz w:val="24"/>
          <w:szCs w:val="24"/>
        </w:rPr>
        <w:t xml:space="preserve"> </w:t>
      </w:r>
      <w:r w:rsidRPr="00881D79">
        <w:rPr>
          <w:rFonts w:ascii="Arial" w:hAnsi="Arial" w:cs="Arial"/>
          <w:b/>
          <w:sz w:val="24"/>
          <w:szCs w:val="24"/>
        </w:rPr>
        <w:t>sq m</w:t>
      </w:r>
      <w:r w:rsidRPr="00881D79">
        <w:rPr>
          <w:rFonts w:ascii="Arial" w:hAnsi="Arial" w:cs="Arial"/>
          <w:sz w:val="24"/>
          <w:szCs w:val="24"/>
        </w:rPr>
        <w:t xml:space="preserve">. </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B45F7C">
      <w:pPr>
        <w:spacing w:after="0" w:line="240" w:lineRule="auto"/>
        <w:ind w:left="426" w:hanging="426"/>
        <w:jc w:val="both"/>
        <w:rPr>
          <w:rFonts w:ascii="Arial" w:hAnsi="Arial" w:cs="Arial"/>
          <w:sz w:val="24"/>
          <w:szCs w:val="24"/>
        </w:rPr>
      </w:pPr>
      <w:r w:rsidRPr="00881D79">
        <w:rPr>
          <w:rFonts w:ascii="Arial" w:hAnsi="Arial" w:cs="Arial"/>
          <w:sz w:val="24"/>
          <w:szCs w:val="24"/>
        </w:rPr>
        <w:t>7.3 This is largely due to the continuing progress of build out of industrial units at Red Scar, Preston East and South Rings, plus the completion of a new leisure destination at the Preston Guildhall Theatre.</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B45F7C">
      <w:pPr>
        <w:spacing w:after="0" w:line="240" w:lineRule="auto"/>
        <w:ind w:left="426" w:hanging="426"/>
        <w:jc w:val="both"/>
        <w:rPr>
          <w:rFonts w:ascii="Arial" w:hAnsi="Arial" w:cs="Arial"/>
          <w:sz w:val="24"/>
          <w:szCs w:val="24"/>
        </w:rPr>
      </w:pPr>
      <w:r w:rsidRPr="00881D79">
        <w:rPr>
          <w:rFonts w:ascii="Arial" w:hAnsi="Arial" w:cs="Arial"/>
          <w:sz w:val="24"/>
          <w:szCs w:val="24"/>
        </w:rPr>
        <w:t xml:space="preserve">7.4 Cumulatively completions are also on target against trajectories with </w:t>
      </w:r>
      <w:r w:rsidRPr="00881D79">
        <w:rPr>
          <w:rFonts w:ascii="Arial" w:hAnsi="Arial" w:cs="Arial"/>
          <w:b/>
          <w:sz w:val="24"/>
          <w:szCs w:val="24"/>
        </w:rPr>
        <w:t>55,592</w:t>
      </w:r>
      <w:r w:rsidRPr="00881D79">
        <w:rPr>
          <w:rFonts w:ascii="Arial" w:hAnsi="Arial" w:cs="Arial"/>
          <w:b/>
          <w:color w:val="FF0000"/>
          <w:sz w:val="24"/>
          <w:szCs w:val="24"/>
        </w:rPr>
        <w:t xml:space="preserve"> </w:t>
      </w:r>
      <w:r w:rsidRPr="00881D79">
        <w:rPr>
          <w:rFonts w:ascii="Arial" w:hAnsi="Arial" w:cs="Arial"/>
          <w:b/>
          <w:sz w:val="24"/>
          <w:szCs w:val="24"/>
        </w:rPr>
        <w:t>sq m</w:t>
      </w:r>
      <w:r w:rsidRPr="00881D79">
        <w:rPr>
          <w:rFonts w:ascii="Arial" w:hAnsi="Arial" w:cs="Arial"/>
          <w:sz w:val="24"/>
          <w:szCs w:val="24"/>
        </w:rPr>
        <w:t xml:space="preserve"> of commercial floorspace completions compared with the target of </w:t>
      </w:r>
      <w:r w:rsidRPr="00881D79">
        <w:rPr>
          <w:rFonts w:ascii="Arial" w:hAnsi="Arial" w:cs="Arial"/>
          <w:b/>
          <w:sz w:val="24"/>
          <w:szCs w:val="24"/>
        </w:rPr>
        <w:t>53,546</w:t>
      </w:r>
      <w:r w:rsidRPr="00881D79">
        <w:rPr>
          <w:rFonts w:ascii="Arial" w:hAnsi="Arial" w:cs="Arial"/>
          <w:b/>
          <w:color w:val="FF0000"/>
          <w:sz w:val="24"/>
          <w:szCs w:val="24"/>
        </w:rPr>
        <w:t xml:space="preserve"> </w:t>
      </w:r>
      <w:r w:rsidRPr="00881D79">
        <w:rPr>
          <w:rFonts w:ascii="Arial" w:hAnsi="Arial" w:cs="Arial"/>
          <w:b/>
          <w:sz w:val="24"/>
          <w:szCs w:val="24"/>
        </w:rPr>
        <w:t>sq m</w:t>
      </w:r>
      <w:r w:rsidRPr="00881D79">
        <w:rPr>
          <w:rFonts w:ascii="Arial" w:hAnsi="Arial" w:cs="Arial"/>
          <w:sz w:val="24"/>
          <w:szCs w:val="24"/>
        </w:rPr>
        <w:t xml:space="preserve">.  </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B45F7C">
      <w:pPr>
        <w:spacing w:after="0" w:line="240" w:lineRule="auto"/>
        <w:ind w:left="426" w:hanging="426"/>
        <w:jc w:val="both"/>
        <w:rPr>
          <w:rFonts w:ascii="Arial" w:hAnsi="Arial" w:cs="Arial"/>
          <w:sz w:val="24"/>
          <w:szCs w:val="24"/>
        </w:rPr>
      </w:pPr>
      <w:r w:rsidRPr="00881D79">
        <w:rPr>
          <w:rFonts w:ascii="Arial" w:hAnsi="Arial" w:cs="Arial"/>
          <w:sz w:val="24"/>
          <w:szCs w:val="24"/>
        </w:rPr>
        <w:t xml:space="preserve">7.5 The accelerated build out at Red Scar and South Rings, albeit of a relatively limited scale and for generally smaller units, has compensated for slower than anticipated development activity at other Preston East sites.   </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B45F7C">
      <w:pPr>
        <w:spacing w:after="0" w:line="240" w:lineRule="auto"/>
        <w:ind w:left="426" w:hanging="426"/>
        <w:jc w:val="both"/>
        <w:rPr>
          <w:rFonts w:ascii="Arial" w:hAnsi="Arial" w:cs="Arial"/>
          <w:sz w:val="24"/>
          <w:szCs w:val="24"/>
        </w:rPr>
      </w:pPr>
      <w:r w:rsidRPr="00881D79">
        <w:rPr>
          <w:rFonts w:ascii="Arial" w:hAnsi="Arial" w:cs="Arial"/>
          <w:sz w:val="24"/>
          <w:szCs w:val="24"/>
        </w:rPr>
        <w:t xml:space="preserve">7.6 Demand for development land, however, remains high at key employment sites and especially for freehold land. There is further ongoing construction at Preston East with expected completion of an additional car showroom in 2018 and next </w:t>
      </w:r>
      <w:r w:rsidRPr="00881D79">
        <w:rPr>
          <w:rFonts w:ascii="Arial" w:hAnsi="Arial" w:cs="Arial"/>
          <w:sz w:val="24"/>
          <w:szCs w:val="24"/>
        </w:rPr>
        <w:lastRenderedPageBreak/>
        <w:t xml:space="preserve">phase development at Vision, Red Scar, along with other Preston East sites with mixed tenure expected to come forward. Farington Hall Estate, Leyland is also expected to be brought forward next year responding to market demand. Speculative build out is likely to continue to focus on smaller units in the short term with larger Design &amp; Build units mainly enquiry led by strategic and local </w:t>
      </w:r>
      <w:r>
        <w:rPr>
          <w:rFonts w:ascii="Arial" w:hAnsi="Arial" w:cs="Arial"/>
          <w:sz w:val="24"/>
          <w:szCs w:val="24"/>
        </w:rPr>
        <w:t>relocations.</w:t>
      </w:r>
    </w:p>
    <w:p w:rsidR="00B45F7C" w:rsidRPr="00881D79" w:rsidRDefault="003E7C2A" w:rsidP="00B45F7C">
      <w:pPr>
        <w:spacing w:after="0" w:line="240" w:lineRule="auto"/>
        <w:jc w:val="both"/>
        <w:rPr>
          <w:rFonts w:ascii="Arial" w:hAnsi="Arial" w:cs="Arial"/>
          <w:sz w:val="24"/>
          <w:szCs w:val="24"/>
        </w:rPr>
      </w:pPr>
    </w:p>
    <w:p w:rsidR="0073202C" w:rsidRPr="00881D79" w:rsidRDefault="00A44354" w:rsidP="00B45F7C">
      <w:pPr>
        <w:spacing w:after="0" w:line="240" w:lineRule="auto"/>
        <w:ind w:left="426" w:hanging="426"/>
        <w:jc w:val="both"/>
        <w:rPr>
          <w:rFonts w:ascii="Arial" w:hAnsi="Arial" w:cs="Arial"/>
          <w:sz w:val="24"/>
          <w:szCs w:val="24"/>
        </w:rPr>
      </w:pPr>
      <w:r w:rsidRPr="00881D79">
        <w:rPr>
          <w:rFonts w:ascii="Arial" w:hAnsi="Arial" w:cs="Arial"/>
          <w:sz w:val="24"/>
          <w:szCs w:val="24"/>
        </w:rPr>
        <w:t xml:space="preserve">7.7 From year 5 onwards completion targets ramp up in scale as scheduled large site delivery is anticipated. These next phase completions at Preston East and the City Centre are scheduled to begin in years 6 and 7, with development progress underway. Firmed up milestones will be developed in years 5 and 6 in order to confirm that delivery will proceed as per City Deal schedule. There will be delays, however, with the delivery of the Cuerden Strategic Site.  </w:t>
      </w:r>
    </w:p>
    <w:p w:rsidR="00B45F7C" w:rsidRPr="00881D79" w:rsidRDefault="00A44354" w:rsidP="00B45F7C">
      <w:pPr>
        <w:spacing w:after="0" w:line="240" w:lineRule="auto"/>
        <w:ind w:left="426" w:hanging="426"/>
        <w:jc w:val="both"/>
        <w:rPr>
          <w:rFonts w:ascii="Arial" w:hAnsi="Arial" w:cs="Arial"/>
          <w:sz w:val="24"/>
          <w:szCs w:val="24"/>
        </w:rPr>
      </w:pPr>
      <w:r w:rsidRPr="00881D79">
        <w:rPr>
          <w:rFonts w:ascii="Arial" w:hAnsi="Arial" w:cs="Arial"/>
          <w:sz w:val="24"/>
          <w:szCs w:val="24"/>
        </w:rPr>
        <w:t xml:space="preserve">  </w:t>
      </w:r>
    </w:p>
    <w:p w:rsidR="0073202C" w:rsidRPr="00881D79" w:rsidRDefault="0012770A" w:rsidP="00B45F7C">
      <w:pPr>
        <w:spacing w:after="0" w:line="240" w:lineRule="auto"/>
        <w:ind w:left="426" w:hanging="426"/>
        <w:jc w:val="both"/>
        <w:rPr>
          <w:rFonts w:ascii="Arial" w:hAnsi="Arial" w:cs="Arial"/>
          <w:sz w:val="24"/>
          <w:szCs w:val="24"/>
        </w:rPr>
      </w:pPr>
      <w:r>
        <w:rPr>
          <w:rFonts w:ascii="Arial" w:hAnsi="Arial" w:cs="Arial"/>
          <w:sz w:val="24"/>
          <w:szCs w:val="24"/>
        </w:rPr>
        <w:t xml:space="preserve">7.8 </w:t>
      </w:r>
      <w:r w:rsidR="00A44354" w:rsidRPr="00881D79">
        <w:rPr>
          <w:rFonts w:ascii="Arial" w:hAnsi="Arial" w:cs="Arial"/>
          <w:sz w:val="24"/>
          <w:szCs w:val="24"/>
        </w:rPr>
        <w:t>In addition, consideration is being given to how occupation rates might be monitored going forward, thus giving a more accurate picture of commercial activity.</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B45F7C">
      <w:pPr>
        <w:spacing w:after="0" w:line="240" w:lineRule="auto"/>
        <w:jc w:val="both"/>
        <w:rPr>
          <w:rFonts w:ascii="Arial" w:hAnsi="Arial" w:cs="Arial"/>
          <w:b/>
          <w:sz w:val="24"/>
          <w:szCs w:val="24"/>
        </w:rPr>
      </w:pPr>
      <w:r w:rsidRPr="00881D79">
        <w:rPr>
          <w:rFonts w:ascii="Arial" w:hAnsi="Arial" w:cs="Arial"/>
          <w:b/>
          <w:sz w:val="24"/>
          <w:szCs w:val="24"/>
        </w:rPr>
        <w:t xml:space="preserve">8.0 Submissions/Consents  </w:t>
      </w:r>
    </w:p>
    <w:p w:rsidR="00B45F7C" w:rsidRPr="00881D79" w:rsidRDefault="003E7C2A" w:rsidP="00B45F7C">
      <w:pPr>
        <w:spacing w:after="0" w:line="240" w:lineRule="auto"/>
        <w:jc w:val="both"/>
        <w:rPr>
          <w:rFonts w:ascii="Arial" w:hAnsi="Arial" w:cs="Arial"/>
          <w:b/>
          <w:sz w:val="24"/>
          <w:szCs w:val="24"/>
        </w:rPr>
      </w:pPr>
    </w:p>
    <w:p w:rsidR="00B45F7C" w:rsidRPr="00881D79" w:rsidRDefault="00A44354" w:rsidP="00B45F7C">
      <w:pPr>
        <w:spacing w:after="0" w:line="240" w:lineRule="auto"/>
        <w:ind w:left="426" w:hanging="426"/>
        <w:jc w:val="both"/>
        <w:rPr>
          <w:rFonts w:ascii="Arial" w:hAnsi="Arial" w:cs="Arial"/>
          <w:sz w:val="24"/>
          <w:szCs w:val="24"/>
        </w:rPr>
      </w:pPr>
      <w:r w:rsidRPr="00881D79">
        <w:rPr>
          <w:rFonts w:ascii="Arial" w:hAnsi="Arial" w:cs="Arial"/>
          <w:sz w:val="24"/>
          <w:szCs w:val="24"/>
        </w:rPr>
        <w:t xml:space="preserve">8.1 With regard to planning submissions in year 4, </w:t>
      </w:r>
      <w:r w:rsidRPr="00881D79">
        <w:rPr>
          <w:rFonts w:ascii="Arial" w:hAnsi="Arial" w:cs="Arial"/>
          <w:b/>
          <w:sz w:val="24"/>
          <w:szCs w:val="24"/>
        </w:rPr>
        <w:t>40,116</w:t>
      </w:r>
      <w:r w:rsidRPr="00881D79">
        <w:rPr>
          <w:rFonts w:ascii="Arial" w:hAnsi="Arial" w:cs="Arial"/>
          <w:b/>
          <w:color w:val="FF0000"/>
          <w:sz w:val="24"/>
          <w:szCs w:val="24"/>
        </w:rPr>
        <w:t xml:space="preserve"> </w:t>
      </w:r>
      <w:r w:rsidRPr="00881D79">
        <w:rPr>
          <w:rFonts w:ascii="Arial" w:hAnsi="Arial" w:cs="Arial"/>
          <w:b/>
          <w:sz w:val="24"/>
          <w:szCs w:val="24"/>
        </w:rPr>
        <w:t>sq m</w:t>
      </w:r>
      <w:r w:rsidRPr="00881D79">
        <w:rPr>
          <w:rFonts w:ascii="Arial" w:hAnsi="Arial" w:cs="Arial"/>
          <w:sz w:val="24"/>
          <w:szCs w:val="24"/>
        </w:rPr>
        <w:t xml:space="preserve"> of commercial floorspace was </w:t>
      </w:r>
      <w:r w:rsidRPr="00881D79">
        <w:rPr>
          <w:rFonts w:ascii="Arial" w:hAnsi="Arial" w:cs="Arial"/>
          <w:b/>
          <w:sz w:val="24"/>
          <w:szCs w:val="24"/>
        </w:rPr>
        <w:t>submitted</w:t>
      </w:r>
      <w:r w:rsidRPr="00881D79">
        <w:rPr>
          <w:rFonts w:ascii="Arial" w:hAnsi="Arial" w:cs="Arial"/>
          <w:sz w:val="24"/>
          <w:szCs w:val="24"/>
        </w:rPr>
        <w:t xml:space="preserve"> for planning compared with the target of </w:t>
      </w:r>
      <w:r w:rsidRPr="00881D79">
        <w:rPr>
          <w:rFonts w:ascii="Arial" w:hAnsi="Arial" w:cs="Arial"/>
          <w:b/>
          <w:sz w:val="24"/>
          <w:szCs w:val="24"/>
        </w:rPr>
        <w:t>37,400</w:t>
      </w:r>
      <w:r w:rsidRPr="00881D79">
        <w:rPr>
          <w:rFonts w:ascii="Arial" w:hAnsi="Arial" w:cs="Arial"/>
          <w:b/>
          <w:color w:val="FF0000"/>
          <w:sz w:val="24"/>
          <w:szCs w:val="24"/>
        </w:rPr>
        <w:t xml:space="preserve"> </w:t>
      </w:r>
      <w:r w:rsidRPr="00881D79">
        <w:rPr>
          <w:rFonts w:ascii="Arial" w:hAnsi="Arial" w:cs="Arial"/>
          <w:b/>
          <w:sz w:val="24"/>
          <w:szCs w:val="24"/>
        </w:rPr>
        <w:t>sq m</w:t>
      </w:r>
      <w:r w:rsidRPr="00881D79">
        <w:rPr>
          <w:rFonts w:ascii="Arial" w:hAnsi="Arial" w:cs="Arial"/>
          <w:sz w:val="24"/>
          <w:szCs w:val="24"/>
        </w:rPr>
        <w:t xml:space="preserve"> and </w:t>
      </w:r>
      <w:r w:rsidRPr="00881D79">
        <w:rPr>
          <w:rFonts w:ascii="Arial" w:hAnsi="Arial" w:cs="Arial"/>
          <w:b/>
          <w:sz w:val="24"/>
          <w:szCs w:val="24"/>
        </w:rPr>
        <w:t>200,152</w:t>
      </w:r>
      <w:r w:rsidRPr="00881D79">
        <w:rPr>
          <w:rFonts w:ascii="Arial" w:hAnsi="Arial" w:cs="Arial"/>
          <w:b/>
          <w:color w:val="FF0000"/>
          <w:sz w:val="24"/>
          <w:szCs w:val="24"/>
        </w:rPr>
        <w:t xml:space="preserve"> </w:t>
      </w:r>
      <w:r w:rsidRPr="00881D79">
        <w:rPr>
          <w:rFonts w:ascii="Arial" w:hAnsi="Arial" w:cs="Arial"/>
          <w:b/>
          <w:sz w:val="24"/>
          <w:szCs w:val="24"/>
        </w:rPr>
        <w:t>sq m</w:t>
      </w:r>
      <w:r w:rsidRPr="00881D79">
        <w:rPr>
          <w:rFonts w:ascii="Arial" w:hAnsi="Arial" w:cs="Arial"/>
          <w:sz w:val="24"/>
          <w:szCs w:val="24"/>
        </w:rPr>
        <w:t xml:space="preserve"> of commercial floorspace was </w:t>
      </w:r>
      <w:r w:rsidRPr="00881D79">
        <w:rPr>
          <w:rFonts w:ascii="Arial" w:hAnsi="Arial" w:cs="Arial"/>
          <w:b/>
          <w:sz w:val="24"/>
          <w:szCs w:val="24"/>
        </w:rPr>
        <w:t>consented</w:t>
      </w:r>
      <w:r w:rsidRPr="00881D79">
        <w:rPr>
          <w:rFonts w:ascii="Arial" w:hAnsi="Arial" w:cs="Arial"/>
          <w:sz w:val="24"/>
          <w:szCs w:val="24"/>
        </w:rPr>
        <w:t xml:space="preserve"> for planning compared with the target of </w:t>
      </w:r>
      <w:r w:rsidRPr="00881D79">
        <w:rPr>
          <w:rFonts w:ascii="Arial" w:hAnsi="Arial" w:cs="Arial"/>
          <w:b/>
          <w:sz w:val="24"/>
          <w:szCs w:val="24"/>
        </w:rPr>
        <w:t>233,067</w:t>
      </w:r>
      <w:r w:rsidRPr="00881D79">
        <w:rPr>
          <w:rFonts w:ascii="Arial" w:hAnsi="Arial" w:cs="Arial"/>
          <w:b/>
          <w:color w:val="FF0000"/>
          <w:sz w:val="24"/>
          <w:szCs w:val="24"/>
        </w:rPr>
        <w:t xml:space="preserve"> </w:t>
      </w:r>
      <w:r w:rsidRPr="00881D79">
        <w:rPr>
          <w:rFonts w:ascii="Arial" w:hAnsi="Arial" w:cs="Arial"/>
          <w:b/>
          <w:sz w:val="24"/>
          <w:szCs w:val="24"/>
        </w:rPr>
        <w:t>sq m.</w:t>
      </w:r>
      <w:r w:rsidRPr="00881D79">
        <w:rPr>
          <w:rFonts w:ascii="Arial" w:hAnsi="Arial" w:cs="Arial"/>
          <w:sz w:val="24"/>
          <w:szCs w:val="24"/>
        </w:rPr>
        <w:t xml:space="preserve">  Delays with the consent of Moss Side Test Track accounted for this underperformance.  </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B45F7C">
      <w:pPr>
        <w:spacing w:after="0" w:line="240" w:lineRule="auto"/>
        <w:ind w:left="426" w:hanging="426"/>
        <w:jc w:val="both"/>
        <w:rPr>
          <w:rFonts w:ascii="Arial" w:hAnsi="Arial" w:cs="Arial"/>
          <w:sz w:val="24"/>
          <w:szCs w:val="24"/>
        </w:rPr>
      </w:pPr>
      <w:r w:rsidRPr="00881D79">
        <w:rPr>
          <w:rFonts w:ascii="Arial" w:hAnsi="Arial" w:cs="Arial"/>
          <w:sz w:val="24"/>
          <w:szCs w:val="24"/>
        </w:rPr>
        <w:t xml:space="preserve">8.2 There are some commercial floorspace consents on mixed-use sites (Whittingham Hospital and Cottam Hall) that won't come to fruition due to changes to the site focus, however these relate to a relatively small area in the context of total City Deal sites.  </w:t>
      </w:r>
    </w:p>
    <w:p w:rsidR="00B45F7C" w:rsidRPr="00881D79" w:rsidRDefault="003E7C2A" w:rsidP="00B45F7C">
      <w:pPr>
        <w:spacing w:after="0" w:line="240" w:lineRule="auto"/>
        <w:ind w:left="426" w:hanging="426"/>
        <w:jc w:val="both"/>
        <w:rPr>
          <w:rFonts w:ascii="Arial" w:hAnsi="Arial" w:cs="Arial"/>
          <w:sz w:val="24"/>
          <w:szCs w:val="24"/>
        </w:rPr>
      </w:pPr>
    </w:p>
    <w:p w:rsidR="00B45F7C" w:rsidRPr="00881D79" w:rsidRDefault="00A44354" w:rsidP="00B45F7C">
      <w:pPr>
        <w:spacing w:after="0" w:line="240" w:lineRule="auto"/>
        <w:ind w:left="426" w:hanging="426"/>
        <w:jc w:val="both"/>
        <w:rPr>
          <w:rFonts w:ascii="Arial" w:hAnsi="Arial" w:cs="Arial"/>
          <w:sz w:val="24"/>
          <w:szCs w:val="24"/>
        </w:rPr>
      </w:pPr>
      <w:r w:rsidRPr="00881D79">
        <w:rPr>
          <w:rFonts w:ascii="Arial" w:hAnsi="Arial" w:cs="Arial"/>
          <w:sz w:val="24"/>
          <w:szCs w:val="24"/>
        </w:rPr>
        <w:t>8.3 A breakdown of the commercial sites targ</w:t>
      </w:r>
      <w:r w:rsidR="0012770A">
        <w:rPr>
          <w:rFonts w:ascii="Arial" w:hAnsi="Arial" w:cs="Arial"/>
          <w:sz w:val="24"/>
          <w:szCs w:val="24"/>
        </w:rPr>
        <w:t>ets and outputs is outlined in T</w:t>
      </w:r>
      <w:r w:rsidRPr="00881D79">
        <w:rPr>
          <w:rFonts w:ascii="Arial" w:hAnsi="Arial" w:cs="Arial"/>
          <w:sz w:val="24"/>
          <w:szCs w:val="24"/>
        </w:rPr>
        <w:t xml:space="preserve">able 3 below. </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B45F7C">
      <w:pPr>
        <w:spacing w:after="0" w:line="240" w:lineRule="auto"/>
        <w:ind w:left="426" w:hanging="426"/>
        <w:jc w:val="both"/>
        <w:rPr>
          <w:rFonts w:ascii="Arial" w:hAnsi="Arial" w:cs="Arial"/>
          <w:sz w:val="24"/>
          <w:szCs w:val="24"/>
        </w:rPr>
      </w:pPr>
      <w:r w:rsidRPr="00881D79">
        <w:rPr>
          <w:rFonts w:ascii="Arial" w:hAnsi="Arial" w:cs="Arial"/>
          <w:sz w:val="24"/>
          <w:szCs w:val="24"/>
        </w:rPr>
        <w:t xml:space="preserve">8.4 Following the adoption of revised baseline commercial completion targets (Keppie Massie report), planning submissions and consents are now monitored in year and on a site by site basis. The </w:t>
      </w:r>
      <w:r w:rsidR="0012770A">
        <w:rPr>
          <w:rFonts w:ascii="Arial" w:hAnsi="Arial" w:cs="Arial"/>
          <w:sz w:val="24"/>
          <w:szCs w:val="24"/>
        </w:rPr>
        <w:t>D</w:t>
      </w:r>
      <w:r w:rsidR="004F4921">
        <w:rPr>
          <w:rFonts w:ascii="Arial" w:hAnsi="Arial" w:cs="Arial"/>
          <w:sz w:val="24"/>
          <w:szCs w:val="24"/>
        </w:rPr>
        <w:t>ashboard attached at Appendix '2</w:t>
      </w:r>
      <w:r w:rsidR="0012770A">
        <w:rPr>
          <w:rFonts w:ascii="Arial" w:hAnsi="Arial" w:cs="Arial"/>
          <w:sz w:val="24"/>
          <w:szCs w:val="24"/>
        </w:rPr>
        <w:t>'</w:t>
      </w:r>
      <w:r w:rsidRPr="00881D79">
        <w:rPr>
          <w:rFonts w:ascii="Arial" w:hAnsi="Arial" w:cs="Arial"/>
          <w:sz w:val="24"/>
          <w:szCs w:val="24"/>
        </w:rPr>
        <w:t xml:space="preserve"> shows that 15 out of 34 live projects are performing in line with anticipated completion targets. A further 15 projects have mitigation actions in place to support delivery.    </w:t>
      </w:r>
    </w:p>
    <w:p w:rsidR="00B45F7C" w:rsidRPr="00881D79" w:rsidRDefault="00A44354" w:rsidP="00B45F7C">
      <w:pPr>
        <w:spacing w:after="0" w:line="240" w:lineRule="auto"/>
        <w:jc w:val="both"/>
        <w:rPr>
          <w:rFonts w:ascii="Arial" w:hAnsi="Arial" w:cs="Arial"/>
          <w:b/>
          <w:sz w:val="24"/>
          <w:szCs w:val="24"/>
        </w:rPr>
      </w:pPr>
      <w:r w:rsidRPr="00881D79">
        <w:rPr>
          <w:rFonts w:ascii="Arial" w:hAnsi="Arial" w:cs="Arial"/>
          <w:sz w:val="24"/>
          <w:szCs w:val="24"/>
        </w:rPr>
        <w:t xml:space="preserve"> </w:t>
      </w:r>
    </w:p>
    <w:p w:rsidR="0012770A" w:rsidRDefault="0012770A">
      <w:pPr>
        <w:rPr>
          <w:rFonts w:ascii="Arial" w:hAnsi="Arial" w:cs="Arial"/>
          <w:b/>
          <w:sz w:val="24"/>
          <w:szCs w:val="24"/>
        </w:rPr>
      </w:pPr>
      <w:r>
        <w:rPr>
          <w:rFonts w:ascii="Arial" w:hAnsi="Arial" w:cs="Arial"/>
          <w:b/>
          <w:sz w:val="24"/>
          <w:szCs w:val="24"/>
        </w:rPr>
        <w:br w:type="page"/>
      </w:r>
    </w:p>
    <w:p w:rsidR="0012770A" w:rsidRDefault="0012770A" w:rsidP="00B45F7C">
      <w:pPr>
        <w:spacing w:after="0" w:line="240" w:lineRule="auto"/>
        <w:jc w:val="both"/>
        <w:rPr>
          <w:rFonts w:ascii="Arial" w:hAnsi="Arial" w:cs="Arial"/>
          <w:b/>
          <w:sz w:val="24"/>
          <w:szCs w:val="24"/>
        </w:rPr>
      </w:pPr>
    </w:p>
    <w:p w:rsidR="00B45F7C" w:rsidRPr="00881D79" w:rsidRDefault="00A44354" w:rsidP="00B45F7C">
      <w:pPr>
        <w:spacing w:after="0" w:line="240" w:lineRule="auto"/>
        <w:jc w:val="both"/>
        <w:rPr>
          <w:rFonts w:ascii="Arial" w:hAnsi="Arial" w:cs="Arial"/>
          <w:b/>
          <w:sz w:val="24"/>
          <w:szCs w:val="24"/>
        </w:rPr>
      </w:pPr>
      <w:r w:rsidRPr="00881D79">
        <w:rPr>
          <w:rFonts w:ascii="Arial" w:hAnsi="Arial" w:cs="Arial"/>
          <w:b/>
          <w:sz w:val="24"/>
          <w:szCs w:val="24"/>
        </w:rPr>
        <w:t>Table 3:  commercial floor space – core and supporting outputs</w:t>
      </w:r>
    </w:p>
    <w:p w:rsidR="00B45F7C" w:rsidRPr="00881D79" w:rsidRDefault="003E7C2A" w:rsidP="00B45F7C">
      <w:pPr>
        <w:spacing w:after="0" w:line="240" w:lineRule="auto"/>
        <w:ind w:left="284"/>
        <w:jc w:val="both"/>
        <w:rPr>
          <w:rFonts w:ascii="Arial" w:hAnsi="Arial" w:cs="Arial"/>
          <w:b/>
          <w:sz w:val="24"/>
          <w:szCs w:val="24"/>
        </w:rPr>
      </w:pPr>
    </w:p>
    <w:tbl>
      <w:tblPr>
        <w:tblStyle w:val="TableGrid1"/>
        <w:tblW w:w="4950" w:type="pct"/>
        <w:tblLayout w:type="fixed"/>
        <w:tblLook w:val="04A0" w:firstRow="1" w:lastRow="0" w:firstColumn="1" w:lastColumn="0" w:noHBand="0" w:noVBand="1"/>
      </w:tblPr>
      <w:tblGrid>
        <w:gridCol w:w="2689"/>
        <w:gridCol w:w="1417"/>
        <w:gridCol w:w="1418"/>
        <w:gridCol w:w="1417"/>
        <w:gridCol w:w="1985"/>
      </w:tblGrid>
      <w:tr w:rsidR="009E2CA8" w:rsidRPr="00881D79" w:rsidTr="00B45F7C">
        <w:tc>
          <w:tcPr>
            <w:tcW w:w="2689" w:type="dxa"/>
            <w:tcBorders>
              <w:top w:val="single" w:sz="4" w:space="0" w:color="auto"/>
              <w:left w:val="single" w:sz="4" w:space="0" w:color="auto"/>
              <w:bottom w:val="single" w:sz="4" w:space="0" w:color="auto"/>
              <w:right w:val="single" w:sz="4" w:space="0" w:color="auto"/>
            </w:tcBorders>
            <w:hideMark/>
          </w:tcPr>
          <w:p w:rsidR="00B45F7C" w:rsidRPr="00881D79" w:rsidRDefault="00A44354" w:rsidP="0012770A">
            <w:pPr>
              <w:rPr>
                <w:rFonts w:ascii="Arial" w:hAnsi="Arial" w:cs="Arial"/>
                <w:b/>
                <w:sz w:val="24"/>
                <w:szCs w:val="24"/>
              </w:rPr>
            </w:pPr>
            <w:r w:rsidRPr="00881D79">
              <w:rPr>
                <w:rFonts w:ascii="Arial" w:hAnsi="Arial" w:cs="Arial"/>
                <w:b/>
                <w:sz w:val="24"/>
                <w:szCs w:val="24"/>
              </w:rPr>
              <w:t>Core  and supporting outputs</w:t>
            </w:r>
          </w:p>
        </w:tc>
        <w:tc>
          <w:tcPr>
            <w:tcW w:w="1417" w:type="dxa"/>
            <w:tcBorders>
              <w:top w:val="single" w:sz="4" w:space="0" w:color="auto"/>
              <w:left w:val="single" w:sz="4" w:space="0" w:color="auto"/>
              <w:bottom w:val="single" w:sz="4" w:space="0" w:color="auto"/>
              <w:right w:val="single" w:sz="4" w:space="0" w:color="auto"/>
            </w:tcBorders>
            <w:hideMark/>
          </w:tcPr>
          <w:p w:rsidR="00B45F7C" w:rsidRPr="00881D79" w:rsidRDefault="00A44354" w:rsidP="0012770A">
            <w:pPr>
              <w:rPr>
                <w:rFonts w:ascii="Arial" w:hAnsi="Arial" w:cs="Arial"/>
                <w:b/>
                <w:sz w:val="24"/>
                <w:szCs w:val="24"/>
              </w:rPr>
            </w:pPr>
            <w:r w:rsidRPr="00881D79">
              <w:rPr>
                <w:rFonts w:ascii="Arial" w:hAnsi="Arial" w:cs="Arial"/>
                <w:b/>
                <w:sz w:val="24"/>
                <w:szCs w:val="24"/>
              </w:rPr>
              <w:t xml:space="preserve">17/18 Trajectory </w:t>
            </w:r>
          </w:p>
          <w:p w:rsidR="00B45F7C" w:rsidRPr="00881D79" w:rsidRDefault="00A44354" w:rsidP="0012770A">
            <w:pPr>
              <w:rPr>
                <w:rFonts w:ascii="Arial" w:hAnsi="Arial" w:cs="Arial"/>
                <w:b/>
                <w:sz w:val="24"/>
                <w:szCs w:val="24"/>
              </w:rPr>
            </w:pPr>
            <w:r w:rsidRPr="00881D79">
              <w:rPr>
                <w:rFonts w:ascii="Arial" w:hAnsi="Arial" w:cs="Arial"/>
                <w:b/>
                <w:sz w:val="24"/>
                <w:szCs w:val="24"/>
              </w:rPr>
              <w:t>(sq m)</w:t>
            </w:r>
          </w:p>
        </w:tc>
        <w:tc>
          <w:tcPr>
            <w:tcW w:w="1418" w:type="dxa"/>
            <w:tcBorders>
              <w:top w:val="single" w:sz="4" w:space="0" w:color="auto"/>
              <w:left w:val="single" w:sz="4" w:space="0" w:color="auto"/>
              <w:bottom w:val="single" w:sz="4" w:space="0" w:color="auto"/>
              <w:right w:val="single" w:sz="4" w:space="0" w:color="auto"/>
            </w:tcBorders>
            <w:hideMark/>
          </w:tcPr>
          <w:p w:rsidR="00B45F7C" w:rsidRPr="00881D79" w:rsidRDefault="00A44354" w:rsidP="0012770A">
            <w:pPr>
              <w:rPr>
                <w:rFonts w:ascii="Arial" w:hAnsi="Arial" w:cs="Arial"/>
                <w:b/>
                <w:sz w:val="24"/>
                <w:szCs w:val="24"/>
              </w:rPr>
            </w:pPr>
            <w:r w:rsidRPr="00881D79">
              <w:rPr>
                <w:rFonts w:ascii="Arial" w:hAnsi="Arial" w:cs="Arial"/>
                <w:b/>
                <w:sz w:val="24"/>
                <w:szCs w:val="24"/>
              </w:rPr>
              <w:t>17/18 Actual</w:t>
            </w:r>
          </w:p>
          <w:p w:rsidR="00B45F7C" w:rsidRPr="00881D79" w:rsidRDefault="00A44354" w:rsidP="0012770A">
            <w:pPr>
              <w:rPr>
                <w:rFonts w:ascii="Arial" w:hAnsi="Arial" w:cs="Arial"/>
                <w:b/>
                <w:sz w:val="24"/>
                <w:szCs w:val="24"/>
              </w:rPr>
            </w:pPr>
            <w:r w:rsidRPr="00881D79">
              <w:rPr>
                <w:rFonts w:ascii="Arial" w:hAnsi="Arial" w:cs="Arial"/>
                <w:b/>
                <w:sz w:val="24"/>
                <w:szCs w:val="24"/>
              </w:rPr>
              <w:t>(sq m)</w:t>
            </w:r>
          </w:p>
        </w:tc>
        <w:tc>
          <w:tcPr>
            <w:tcW w:w="1417" w:type="dxa"/>
            <w:tcBorders>
              <w:top w:val="single" w:sz="4" w:space="0" w:color="auto"/>
              <w:left w:val="single" w:sz="4" w:space="0" w:color="auto"/>
              <w:bottom w:val="single" w:sz="4" w:space="0" w:color="auto"/>
              <w:right w:val="single" w:sz="4" w:space="0" w:color="auto"/>
            </w:tcBorders>
          </w:tcPr>
          <w:p w:rsidR="00B45F7C" w:rsidRPr="00881D79" w:rsidRDefault="00A44354" w:rsidP="0012770A">
            <w:pPr>
              <w:rPr>
                <w:rFonts w:ascii="Arial" w:hAnsi="Arial" w:cs="Arial"/>
                <w:b/>
                <w:sz w:val="24"/>
                <w:szCs w:val="24"/>
              </w:rPr>
            </w:pPr>
            <w:r w:rsidRPr="00881D79">
              <w:rPr>
                <w:rFonts w:ascii="Arial" w:hAnsi="Arial" w:cs="Arial"/>
                <w:b/>
                <w:sz w:val="24"/>
                <w:szCs w:val="24"/>
              </w:rPr>
              <w:t>17/18 variance</w:t>
            </w:r>
          </w:p>
        </w:tc>
        <w:tc>
          <w:tcPr>
            <w:tcW w:w="1985" w:type="dxa"/>
            <w:tcBorders>
              <w:top w:val="single" w:sz="4" w:space="0" w:color="auto"/>
              <w:left w:val="single" w:sz="4" w:space="0" w:color="auto"/>
              <w:bottom w:val="single" w:sz="4" w:space="0" w:color="auto"/>
              <w:right w:val="single" w:sz="4" w:space="0" w:color="auto"/>
            </w:tcBorders>
            <w:hideMark/>
          </w:tcPr>
          <w:p w:rsidR="00B45F7C" w:rsidRPr="00881D79" w:rsidRDefault="00A44354" w:rsidP="0012770A">
            <w:pPr>
              <w:rPr>
                <w:rFonts w:ascii="Arial" w:hAnsi="Arial" w:cs="Arial"/>
                <w:b/>
                <w:sz w:val="24"/>
                <w:szCs w:val="24"/>
              </w:rPr>
            </w:pPr>
            <w:r w:rsidRPr="00881D79">
              <w:rPr>
                <w:rFonts w:ascii="Arial" w:hAnsi="Arial" w:cs="Arial"/>
                <w:b/>
                <w:sz w:val="24"/>
                <w:szCs w:val="24"/>
              </w:rPr>
              <w:t xml:space="preserve">  All Years Cumulative Variance </w:t>
            </w:r>
          </w:p>
        </w:tc>
      </w:tr>
      <w:tr w:rsidR="009E2CA8" w:rsidRPr="00881D79" w:rsidTr="00B45F7C">
        <w:tc>
          <w:tcPr>
            <w:tcW w:w="2689" w:type="dxa"/>
          </w:tcPr>
          <w:p w:rsidR="00B45F7C" w:rsidRPr="00881D79" w:rsidRDefault="00A44354" w:rsidP="00B45F7C">
            <w:pPr>
              <w:jc w:val="both"/>
              <w:rPr>
                <w:rFonts w:ascii="Arial" w:hAnsi="Arial" w:cs="Arial"/>
                <w:sz w:val="24"/>
                <w:szCs w:val="24"/>
              </w:rPr>
            </w:pPr>
            <w:r w:rsidRPr="00881D79">
              <w:rPr>
                <w:rFonts w:ascii="Arial" w:hAnsi="Arial" w:cs="Arial"/>
                <w:sz w:val="24"/>
                <w:szCs w:val="24"/>
              </w:rPr>
              <w:t>Commercial floorspace completed (sq m)</w:t>
            </w:r>
          </w:p>
          <w:p w:rsidR="00B45F7C" w:rsidRPr="00881D79" w:rsidRDefault="003E7C2A" w:rsidP="00B45F7C">
            <w:pPr>
              <w:jc w:val="both"/>
              <w:rPr>
                <w:rFonts w:ascii="Arial" w:hAnsi="Arial" w:cs="Arial"/>
                <w:sz w:val="24"/>
                <w:szCs w:val="24"/>
              </w:rPr>
            </w:pPr>
          </w:p>
        </w:tc>
        <w:tc>
          <w:tcPr>
            <w:tcW w:w="1417" w:type="dxa"/>
            <w:hideMark/>
          </w:tcPr>
          <w:p w:rsidR="00B45F7C" w:rsidRPr="00881D79" w:rsidRDefault="00A44354" w:rsidP="00B45F7C">
            <w:pPr>
              <w:jc w:val="both"/>
              <w:rPr>
                <w:rFonts w:ascii="Arial" w:hAnsi="Arial" w:cs="Arial"/>
                <w:sz w:val="24"/>
                <w:szCs w:val="24"/>
              </w:rPr>
            </w:pPr>
            <w:r w:rsidRPr="00881D79">
              <w:rPr>
                <w:rFonts w:ascii="Arial" w:hAnsi="Arial" w:cs="Arial"/>
                <w:sz w:val="24"/>
                <w:szCs w:val="24"/>
              </w:rPr>
              <w:t>2,640</w:t>
            </w:r>
          </w:p>
        </w:tc>
        <w:tc>
          <w:tcPr>
            <w:tcW w:w="1418" w:type="dxa"/>
            <w:hideMark/>
          </w:tcPr>
          <w:p w:rsidR="00B45F7C" w:rsidRPr="00881D79" w:rsidRDefault="00A44354" w:rsidP="00B45F7C">
            <w:pPr>
              <w:jc w:val="both"/>
              <w:rPr>
                <w:rFonts w:ascii="Arial" w:hAnsi="Arial" w:cs="Arial"/>
                <w:sz w:val="24"/>
                <w:szCs w:val="24"/>
              </w:rPr>
            </w:pPr>
            <w:r w:rsidRPr="00881D79">
              <w:rPr>
                <w:rFonts w:ascii="Arial" w:hAnsi="Arial" w:cs="Arial"/>
                <w:sz w:val="24"/>
                <w:szCs w:val="24"/>
              </w:rPr>
              <w:t>9,635</w:t>
            </w:r>
          </w:p>
        </w:tc>
        <w:tc>
          <w:tcPr>
            <w:tcW w:w="1417" w:type="dxa"/>
          </w:tcPr>
          <w:p w:rsidR="00B45F7C" w:rsidRPr="00881D79" w:rsidRDefault="00A44354" w:rsidP="00B45F7C">
            <w:pPr>
              <w:jc w:val="both"/>
              <w:rPr>
                <w:rFonts w:ascii="Arial" w:hAnsi="Arial" w:cs="Arial"/>
                <w:sz w:val="24"/>
                <w:szCs w:val="24"/>
              </w:rPr>
            </w:pPr>
            <w:r w:rsidRPr="00881D79">
              <w:rPr>
                <w:rFonts w:ascii="Arial" w:hAnsi="Arial" w:cs="Arial"/>
                <w:sz w:val="24"/>
                <w:szCs w:val="24"/>
              </w:rPr>
              <w:t>+6,995</w:t>
            </w:r>
          </w:p>
        </w:tc>
        <w:tc>
          <w:tcPr>
            <w:tcW w:w="1985" w:type="dxa"/>
            <w:hideMark/>
          </w:tcPr>
          <w:p w:rsidR="00B45F7C" w:rsidRPr="00881D79" w:rsidRDefault="00A44354" w:rsidP="00B45F7C">
            <w:pPr>
              <w:jc w:val="both"/>
              <w:rPr>
                <w:rFonts w:ascii="Arial" w:hAnsi="Arial" w:cs="Arial"/>
                <w:sz w:val="24"/>
                <w:szCs w:val="24"/>
                <w:highlight w:val="cyan"/>
              </w:rPr>
            </w:pPr>
            <w:r w:rsidRPr="00881D79">
              <w:rPr>
                <w:rFonts w:ascii="Arial" w:hAnsi="Arial" w:cs="Arial"/>
                <w:sz w:val="24"/>
                <w:szCs w:val="24"/>
              </w:rPr>
              <w:t>+2,046</w:t>
            </w:r>
          </w:p>
        </w:tc>
      </w:tr>
      <w:tr w:rsidR="009E2CA8" w:rsidRPr="00881D79" w:rsidTr="00B45F7C">
        <w:tc>
          <w:tcPr>
            <w:tcW w:w="2689" w:type="dxa"/>
            <w:tcBorders>
              <w:top w:val="single" w:sz="4" w:space="0" w:color="auto"/>
              <w:left w:val="single" w:sz="4" w:space="0" w:color="auto"/>
              <w:bottom w:val="single" w:sz="4" w:space="0" w:color="auto"/>
              <w:right w:val="single" w:sz="4" w:space="0" w:color="auto"/>
            </w:tcBorders>
          </w:tcPr>
          <w:p w:rsidR="00B45F7C" w:rsidRPr="00881D79" w:rsidRDefault="00A44354" w:rsidP="00B45F7C">
            <w:pPr>
              <w:jc w:val="both"/>
              <w:rPr>
                <w:rFonts w:ascii="Arial" w:hAnsi="Arial" w:cs="Arial"/>
                <w:sz w:val="24"/>
                <w:szCs w:val="24"/>
              </w:rPr>
            </w:pPr>
            <w:r w:rsidRPr="00881D79">
              <w:rPr>
                <w:rFonts w:ascii="Arial" w:hAnsi="Arial" w:cs="Arial"/>
                <w:sz w:val="24"/>
                <w:szCs w:val="24"/>
              </w:rPr>
              <w:t>Commercial floorspace consented for planning  (sq m)</w:t>
            </w:r>
          </w:p>
          <w:p w:rsidR="00B45F7C" w:rsidRPr="00881D79" w:rsidRDefault="003E7C2A" w:rsidP="00B45F7C">
            <w:pPr>
              <w:jc w:val="both"/>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sz w:val="24"/>
                <w:szCs w:val="24"/>
              </w:rPr>
            </w:pPr>
            <w:r w:rsidRPr="00881D79">
              <w:rPr>
                <w:rFonts w:ascii="Arial" w:hAnsi="Arial" w:cs="Arial"/>
                <w:sz w:val="24"/>
                <w:szCs w:val="24"/>
              </w:rPr>
              <w:t>233,067</w:t>
            </w:r>
          </w:p>
        </w:tc>
        <w:tc>
          <w:tcPr>
            <w:tcW w:w="1418"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sz w:val="24"/>
                <w:szCs w:val="24"/>
              </w:rPr>
            </w:pPr>
            <w:r w:rsidRPr="00881D79">
              <w:rPr>
                <w:rFonts w:ascii="Arial" w:hAnsi="Arial" w:cs="Arial"/>
                <w:sz w:val="24"/>
                <w:szCs w:val="24"/>
              </w:rPr>
              <w:t>200,152</w:t>
            </w:r>
          </w:p>
        </w:tc>
        <w:tc>
          <w:tcPr>
            <w:tcW w:w="1417" w:type="dxa"/>
            <w:tcBorders>
              <w:top w:val="single" w:sz="4" w:space="0" w:color="auto"/>
              <w:left w:val="single" w:sz="4" w:space="0" w:color="auto"/>
              <w:bottom w:val="single" w:sz="4" w:space="0" w:color="auto"/>
              <w:right w:val="single" w:sz="4" w:space="0" w:color="auto"/>
            </w:tcBorders>
          </w:tcPr>
          <w:p w:rsidR="00B45F7C" w:rsidRPr="00881D79" w:rsidRDefault="00A44354" w:rsidP="00B45F7C">
            <w:pPr>
              <w:jc w:val="both"/>
              <w:rPr>
                <w:rFonts w:ascii="Arial" w:hAnsi="Arial" w:cs="Arial"/>
                <w:sz w:val="24"/>
                <w:szCs w:val="24"/>
              </w:rPr>
            </w:pPr>
            <w:r w:rsidRPr="00881D79">
              <w:rPr>
                <w:rFonts w:ascii="Arial" w:hAnsi="Arial" w:cs="Arial"/>
                <w:sz w:val="24"/>
                <w:szCs w:val="24"/>
              </w:rPr>
              <w:t>-32,915</w:t>
            </w:r>
          </w:p>
        </w:tc>
        <w:tc>
          <w:tcPr>
            <w:tcW w:w="1985" w:type="dxa"/>
            <w:tcBorders>
              <w:top w:val="single" w:sz="4" w:space="0" w:color="auto"/>
              <w:left w:val="single" w:sz="4" w:space="0" w:color="auto"/>
              <w:bottom w:val="single" w:sz="4" w:space="0" w:color="auto"/>
              <w:right w:val="single" w:sz="4" w:space="0" w:color="auto"/>
            </w:tcBorders>
          </w:tcPr>
          <w:p w:rsidR="00B45F7C" w:rsidRPr="00881D79" w:rsidRDefault="00A44354" w:rsidP="00B45F7C">
            <w:pPr>
              <w:jc w:val="both"/>
              <w:rPr>
                <w:rFonts w:ascii="Arial" w:hAnsi="Arial" w:cs="Arial"/>
                <w:sz w:val="24"/>
                <w:szCs w:val="24"/>
                <w:highlight w:val="cyan"/>
              </w:rPr>
            </w:pPr>
            <w:r w:rsidRPr="00881D79">
              <w:rPr>
                <w:rFonts w:ascii="Arial" w:hAnsi="Arial" w:cs="Arial"/>
                <w:sz w:val="24"/>
                <w:szCs w:val="24"/>
              </w:rPr>
              <w:t>n/a</w:t>
            </w:r>
          </w:p>
        </w:tc>
      </w:tr>
      <w:tr w:rsidR="009E2CA8" w:rsidRPr="00881D79" w:rsidTr="00B45F7C">
        <w:tc>
          <w:tcPr>
            <w:tcW w:w="2689"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sz w:val="24"/>
                <w:szCs w:val="24"/>
              </w:rPr>
            </w:pPr>
            <w:r w:rsidRPr="00881D79">
              <w:rPr>
                <w:rFonts w:ascii="Arial" w:hAnsi="Arial" w:cs="Arial"/>
                <w:sz w:val="24"/>
                <w:szCs w:val="24"/>
              </w:rPr>
              <w:t>Commercial floorspace submitted for planning</w:t>
            </w:r>
          </w:p>
        </w:tc>
        <w:tc>
          <w:tcPr>
            <w:tcW w:w="1417"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sz w:val="24"/>
                <w:szCs w:val="24"/>
              </w:rPr>
            </w:pPr>
            <w:r w:rsidRPr="00881D79">
              <w:rPr>
                <w:rFonts w:ascii="Arial" w:hAnsi="Arial" w:cs="Arial"/>
                <w:sz w:val="24"/>
                <w:szCs w:val="24"/>
              </w:rPr>
              <w:t>37,400</w:t>
            </w:r>
          </w:p>
        </w:tc>
        <w:tc>
          <w:tcPr>
            <w:tcW w:w="1418"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sz w:val="24"/>
                <w:szCs w:val="24"/>
              </w:rPr>
            </w:pPr>
            <w:r w:rsidRPr="00881D79">
              <w:rPr>
                <w:rFonts w:ascii="Arial" w:hAnsi="Arial" w:cs="Arial"/>
                <w:sz w:val="24"/>
                <w:szCs w:val="24"/>
              </w:rPr>
              <w:t>40,116</w:t>
            </w:r>
          </w:p>
        </w:tc>
        <w:tc>
          <w:tcPr>
            <w:tcW w:w="1417" w:type="dxa"/>
            <w:tcBorders>
              <w:top w:val="single" w:sz="4" w:space="0" w:color="auto"/>
              <w:left w:val="single" w:sz="4" w:space="0" w:color="auto"/>
              <w:bottom w:val="single" w:sz="4" w:space="0" w:color="auto"/>
              <w:right w:val="single" w:sz="4" w:space="0" w:color="auto"/>
            </w:tcBorders>
          </w:tcPr>
          <w:p w:rsidR="00B45F7C" w:rsidRPr="00881D79" w:rsidRDefault="00A44354" w:rsidP="00B45F7C">
            <w:pPr>
              <w:jc w:val="both"/>
              <w:rPr>
                <w:rFonts w:ascii="Arial" w:hAnsi="Arial" w:cs="Arial"/>
                <w:sz w:val="24"/>
                <w:szCs w:val="24"/>
              </w:rPr>
            </w:pPr>
            <w:r w:rsidRPr="00881D79">
              <w:rPr>
                <w:rFonts w:ascii="Arial" w:hAnsi="Arial" w:cs="Arial"/>
                <w:sz w:val="24"/>
                <w:szCs w:val="24"/>
              </w:rPr>
              <w:t>+2,716</w:t>
            </w:r>
          </w:p>
        </w:tc>
        <w:tc>
          <w:tcPr>
            <w:tcW w:w="1985"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sz w:val="24"/>
                <w:szCs w:val="24"/>
                <w:highlight w:val="cyan"/>
              </w:rPr>
            </w:pPr>
            <w:r w:rsidRPr="00881D79">
              <w:rPr>
                <w:rFonts w:ascii="Arial" w:hAnsi="Arial" w:cs="Arial"/>
                <w:sz w:val="24"/>
                <w:szCs w:val="24"/>
              </w:rPr>
              <w:t>n/a</w:t>
            </w:r>
          </w:p>
        </w:tc>
      </w:tr>
    </w:tbl>
    <w:p w:rsidR="00B45F7C" w:rsidRPr="00881D79" w:rsidRDefault="003E7C2A" w:rsidP="00B45F7C">
      <w:pPr>
        <w:spacing w:after="0" w:line="240" w:lineRule="auto"/>
        <w:ind w:left="360"/>
        <w:jc w:val="both"/>
        <w:rPr>
          <w:rFonts w:ascii="Arial" w:hAnsi="Arial" w:cs="Arial"/>
          <w:sz w:val="24"/>
          <w:szCs w:val="24"/>
        </w:rPr>
      </w:pPr>
    </w:p>
    <w:p w:rsidR="00B45F7C" w:rsidRPr="00881D79" w:rsidRDefault="00A44354" w:rsidP="00B45F7C">
      <w:pPr>
        <w:tabs>
          <w:tab w:val="left" w:pos="426"/>
        </w:tabs>
        <w:spacing w:after="0" w:line="240" w:lineRule="auto"/>
        <w:ind w:left="360" w:hanging="360"/>
        <w:jc w:val="both"/>
        <w:rPr>
          <w:rFonts w:ascii="Arial" w:hAnsi="Arial" w:cs="Arial"/>
          <w:b/>
          <w:sz w:val="24"/>
          <w:szCs w:val="24"/>
        </w:rPr>
      </w:pPr>
      <w:r w:rsidRPr="00881D79">
        <w:rPr>
          <w:rFonts w:ascii="Arial" w:hAnsi="Arial" w:cs="Arial"/>
          <w:b/>
          <w:sz w:val="24"/>
          <w:szCs w:val="24"/>
        </w:rPr>
        <w:t>9.0 How we are working to progress employment sites:</w:t>
      </w:r>
    </w:p>
    <w:p w:rsidR="00B45F7C" w:rsidRPr="00881D79" w:rsidRDefault="003E7C2A" w:rsidP="00B45F7C">
      <w:pPr>
        <w:tabs>
          <w:tab w:val="left" w:pos="0"/>
        </w:tabs>
        <w:spacing w:after="0" w:line="240" w:lineRule="auto"/>
        <w:jc w:val="both"/>
        <w:rPr>
          <w:rFonts w:ascii="Arial" w:hAnsi="Arial" w:cs="Arial"/>
          <w:sz w:val="24"/>
          <w:szCs w:val="24"/>
        </w:rPr>
      </w:pPr>
    </w:p>
    <w:p w:rsidR="00B45F7C" w:rsidRPr="00881D79" w:rsidRDefault="00A44354" w:rsidP="00B45F7C">
      <w:pPr>
        <w:numPr>
          <w:ilvl w:val="0"/>
          <w:numId w:val="7"/>
        </w:numPr>
        <w:tabs>
          <w:tab w:val="left" w:pos="0"/>
        </w:tabs>
        <w:spacing w:after="0" w:line="240" w:lineRule="auto"/>
        <w:contextualSpacing/>
        <w:jc w:val="both"/>
        <w:rPr>
          <w:rFonts w:ascii="Arial" w:hAnsi="Arial" w:cs="Arial"/>
          <w:sz w:val="24"/>
          <w:szCs w:val="24"/>
        </w:rPr>
      </w:pPr>
      <w:r w:rsidRPr="00881D79">
        <w:rPr>
          <w:rFonts w:ascii="Arial" w:hAnsi="Arial" w:cs="Arial"/>
          <w:sz w:val="24"/>
          <w:szCs w:val="24"/>
        </w:rPr>
        <w:t xml:space="preserve">The current employment completions have performed well and on some existing employment sites, for example at Red Scar, Preston East and South Rings, Bamber Bridge, build out has been brought forward in response to market demand, albeit in the case of South Rings unit types have been modified from the original office use to hybrid units that better suit current market conditions. </w:t>
      </w:r>
    </w:p>
    <w:p w:rsidR="00B45F7C" w:rsidRPr="00881D79" w:rsidRDefault="003E7C2A" w:rsidP="00B45F7C">
      <w:pPr>
        <w:tabs>
          <w:tab w:val="left" w:pos="0"/>
        </w:tabs>
        <w:spacing w:after="0" w:line="240" w:lineRule="auto"/>
        <w:jc w:val="both"/>
        <w:rPr>
          <w:rFonts w:ascii="Arial" w:hAnsi="Arial" w:cs="Arial"/>
          <w:sz w:val="24"/>
          <w:szCs w:val="24"/>
        </w:rPr>
      </w:pPr>
    </w:p>
    <w:p w:rsidR="00B45F7C" w:rsidRPr="00881D79" w:rsidRDefault="00A44354" w:rsidP="00B45F7C">
      <w:pPr>
        <w:numPr>
          <w:ilvl w:val="0"/>
          <w:numId w:val="7"/>
        </w:numPr>
        <w:tabs>
          <w:tab w:val="left" w:pos="0"/>
        </w:tabs>
        <w:spacing w:after="0" w:line="240" w:lineRule="auto"/>
        <w:contextualSpacing/>
        <w:jc w:val="both"/>
        <w:rPr>
          <w:rFonts w:ascii="Arial" w:hAnsi="Arial" w:cs="Arial"/>
          <w:sz w:val="24"/>
          <w:szCs w:val="24"/>
        </w:rPr>
      </w:pPr>
      <w:r w:rsidRPr="00881D79">
        <w:rPr>
          <w:rFonts w:ascii="Arial" w:hAnsi="Arial" w:cs="Arial"/>
          <w:sz w:val="24"/>
          <w:szCs w:val="24"/>
        </w:rPr>
        <w:t xml:space="preserve">Commercial floorspace completions will continue to be concentrated on these established sites at Red Scar and South Rings in the immediate term. </w:t>
      </w:r>
    </w:p>
    <w:p w:rsidR="00B45F7C" w:rsidRPr="00881D79" w:rsidRDefault="003E7C2A" w:rsidP="00B45F7C">
      <w:pPr>
        <w:tabs>
          <w:tab w:val="left" w:pos="0"/>
        </w:tabs>
        <w:spacing w:after="0" w:line="240" w:lineRule="auto"/>
        <w:jc w:val="both"/>
        <w:rPr>
          <w:rFonts w:ascii="Arial" w:hAnsi="Arial" w:cs="Arial"/>
          <w:sz w:val="24"/>
          <w:szCs w:val="24"/>
        </w:rPr>
      </w:pPr>
    </w:p>
    <w:p w:rsidR="00B45F7C" w:rsidRPr="00881D79" w:rsidRDefault="00A44354" w:rsidP="00B45F7C">
      <w:pPr>
        <w:numPr>
          <w:ilvl w:val="0"/>
          <w:numId w:val="7"/>
        </w:numPr>
        <w:tabs>
          <w:tab w:val="left" w:pos="0"/>
        </w:tabs>
        <w:spacing w:after="0" w:line="240" w:lineRule="auto"/>
        <w:contextualSpacing/>
        <w:jc w:val="both"/>
        <w:rPr>
          <w:rFonts w:ascii="Arial" w:hAnsi="Arial" w:cs="Arial"/>
          <w:sz w:val="24"/>
          <w:szCs w:val="24"/>
        </w:rPr>
      </w:pPr>
      <w:r w:rsidRPr="00881D79">
        <w:rPr>
          <w:rFonts w:ascii="Arial" w:hAnsi="Arial" w:cs="Arial"/>
          <w:sz w:val="24"/>
          <w:szCs w:val="24"/>
        </w:rPr>
        <w:t>Whilst development activity is subject to market demand and commercial opportunities, partners are working in a number of areas to ensure that future targets are met, including:</w:t>
      </w:r>
    </w:p>
    <w:p w:rsidR="00B45F7C" w:rsidRPr="00881D79" w:rsidRDefault="003E7C2A" w:rsidP="00B45F7C">
      <w:pPr>
        <w:tabs>
          <w:tab w:val="left" w:pos="0"/>
        </w:tabs>
        <w:spacing w:after="0" w:line="240" w:lineRule="auto"/>
        <w:jc w:val="both"/>
        <w:rPr>
          <w:rFonts w:ascii="Arial" w:hAnsi="Arial" w:cs="Arial"/>
          <w:sz w:val="24"/>
          <w:szCs w:val="24"/>
        </w:rPr>
      </w:pPr>
    </w:p>
    <w:p w:rsidR="00B45F7C" w:rsidRPr="00881D79" w:rsidRDefault="00A44354" w:rsidP="00B45F7C">
      <w:pPr>
        <w:numPr>
          <w:ilvl w:val="0"/>
          <w:numId w:val="6"/>
        </w:numPr>
        <w:tabs>
          <w:tab w:val="left" w:pos="426"/>
        </w:tabs>
        <w:spacing w:after="160" w:line="259" w:lineRule="auto"/>
        <w:contextualSpacing/>
        <w:jc w:val="both"/>
        <w:rPr>
          <w:rFonts w:ascii="Arial" w:hAnsi="Arial" w:cs="Arial"/>
          <w:sz w:val="24"/>
          <w:szCs w:val="24"/>
        </w:rPr>
      </w:pPr>
      <w:r w:rsidRPr="00881D79">
        <w:rPr>
          <w:rFonts w:ascii="Arial" w:hAnsi="Arial" w:cs="Arial"/>
          <w:sz w:val="24"/>
          <w:szCs w:val="24"/>
        </w:rPr>
        <w:t>Releasing land – progress is being maintained on releasing land, in particular on LCC and Homes England sites in Preston East, and Farington Hall Estate in South Ribble where there has been recent developer interest following ongoing land disposal.</w:t>
      </w:r>
    </w:p>
    <w:p w:rsidR="00B45F7C" w:rsidRPr="00881D79" w:rsidRDefault="00A44354" w:rsidP="00B45F7C">
      <w:pPr>
        <w:numPr>
          <w:ilvl w:val="0"/>
          <w:numId w:val="6"/>
        </w:numPr>
        <w:tabs>
          <w:tab w:val="left" w:pos="426"/>
        </w:tabs>
        <w:spacing w:after="160" w:line="259" w:lineRule="auto"/>
        <w:contextualSpacing/>
        <w:jc w:val="both"/>
        <w:rPr>
          <w:rFonts w:ascii="Arial" w:hAnsi="Arial" w:cs="Arial"/>
          <w:sz w:val="24"/>
          <w:szCs w:val="24"/>
        </w:rPr>
      </w:pPr>
      <w:r w:rsidRPr="00881D79">
        <w:rPr>
          <w:rFonts w:ascii="Arial" w:hAnsi="Arial" w:cs="Arial"/>
          <w:sz w:val="24"/>
          <w:szCs w:val="24"/>
        </w:rPr>
        <w:t>Developing the city centre – a range of activities are being undertaken to develop and implement city-wide schemes, for example completing complementary public realm schemes, progressing 'Opportunity Area' masterplans (Stoneygate) and producing marketing</w:t>
      </w:r>
      <w:r>
        <w:rPr>
          <w:rFonts w:ascii="Arial" w:hAnsi="Arial" w:cs="Arial"/>
          <w:sz w:val="24"/>
          <w:szCs w:val="24"/>
        </w:rPr>
        <w:t xml:space="preserve"> collateral (Harris Quarter).</w:t>
      </w:r>
    </w:p>
    <w:p w:rsidR="00B45F7C" w:rsidRPr="00881D79" w:rsidRDefault="00A44354" w:rsidP="00B45F7C">
      <w:pPr>
        <w:numPr>
          <w:ilvl w:val="0"/>
          <w:numId w:val="6"/>
        </w:numPr>
        <w:tabs>
          <w:tab w:val="left" w:pos="426"/>
        </w:tabs>
        <w:spacing w:after="160" w:line="259" w:lineRule="auto"/>
        <w:contextualSpacing/>
        <w:jc w:val="both"/>
        <w:rPr>
          <w:rFonts w:ascii="Arial" w:hAnsi="Arial" w:cs="Arial"/>
          <w:sz w:val="24"/>
          <w:szCs w:val="24"/>
        </w:rPr>
      </w:pPr>
      <w:r w:rsidRPr="00881D79">
        <w:rPr>
          <w:rFonts w:ascii="Arial" w:hAnsi="Arial" w:cs="Arial"/>
          <w:sz w:val="24"/>
          <w:szCs w:val="24"/>
        </w:rPr>
        <w:t xml:space="preserve">Marketing - implementation of a Marketing &amp; Communications Plan continues to generate investor interest. Recent activities include the launch of the Invest Central Lancashire proposition focussing upon our 'Game changing' sites, integration within Lancashire-wide marketing activity (for example Invest Lancashire), the development of </w:t>
      </w:r>
      <w:r w:rsidRPr="00881D79">
        <w:rPr>
          <w:rFonts w:ascii="Arial" w:hAnsi="Arial" w:cs="Arial"/>
          <w:sz w:val="24"/>
          <w:szCs w:val="24"/>
        </w:rPr>
        <w:lastRenderedPageBreak/>
        <w:t>complementary site specific marketing strategies (for example Samlesbury Aerospace Enterprise Zone) and regular Developer &amp; Investor events.</w:t>
      </w:r>
    </w:p>
    <w:p w:rsidR="00B45F7C" w:rsidRPr="00881D79" w:rsidRDefault="00A44354" w:rsidP="00B45F7C">
      <w:pPr>
        <w:numPr>
          <w:ilvl w:val="0"/>
          <w:numId w:val="6"/>
        </w:numPr>
        <w:tabs>
          <w:tab w:val="left" w:pos="426"/>
        </w:tabs>
        <w:spacing w:after="160" w:line="259" w:lineRule="auto"/>
        <w:contextualSpacing/>
        <w:jc w:val="both"/>
        <w:rPr>
          <w:rFonts w:ascii="Arial" w:hAnsi="Arial" w:cs="Arial"/>
          <w:sz w:val="24"/>
          <w:szCs w:val="24"/>
        </w:rPr>
      </w:pPr>
      <w:r w:rsidRPr="00881D79">
        <w:rPr>
          <w:rFonts w:ascii="Arial" w:hAnsi="Arial" w:cs="Arial"/>
          <w:sz w:val="24"/>
          <w:szCs w:val="24"/>
        </w:rPr>
        <w:t>Enquiry handling – protocols are being developed in order that enquiries received, for example following the launch of Invest Central Lancashire, are co-ordinated and all relevant support and r</w:t>
      </w:r>
      <w:r>
        <w:rPr>
          <w:rFonts w:ascii="Arial" w:hAnsi="Arial" w:cs="Arial"/>
          <w:sz w:val="24"/>
          <w:szCs w:val="24"/>
        </w:rPr>
        <w:t>esources are made available.</w:t>
      </w:r>
    </w:p>
    <w:p w:rsidR="00B45F7C" w:rsidRPr="00881D79" w:rsidRDefault="00A44354" w:rsidP="00B45F7C">
      <w:pPr>
        <w:numPr>
          <w:ilvl w:val="0"/>
          <w:numId w:val="6"/>
        </w:numPr>
        <w:tabs>
          <w:tab w:val="left" w:pos="426"/>
        </w:tabs>
        <w:spacing w:after="160" w:line="259" w:lineRule="auto"/>
        <w:contextualSpacing/>
        <w:jc w:val="both"/>
        <w:rPr>
          <w:rFonts w:ascii="Arial" w:hAnsi="Arial" w:cs="Arial"/>
          <w:sz w:val="24"/>
          <w:szCs w:val="24"/>
        </w:rPr>
      </w:pPr>
      <w:r w:rsidRPr="00881D79">
        <w:rPr>
          <w:rFonts w:ascii="Arial" w:hAnsi="Arial" w:cs="Arial"/>
          <w:sz w:val="24"/>
          <w:szCs w:val="24"/>
        </w:rPr>
        <w:t>Accelerating delivery - a programmed approach continues to bring forward housing sites, aided by the intervention of the Development Sites Delivery Group, including mixed-use sites where there is a commercial element. These will benefit development of employment land, for example, at Moss Side Test Track and Pi</w:t>
      </w:r>
      <w:r>
        <w:rPr>
          <w:rFonts w:ascii="Arial" w:hAnsi="Arial" w:cs="Arial"/>
          <w:sz w:val="24"/>
          <w:szCs w:val="24"/>
        </w:rPr>
        <w:t>ckerings Farm in South Ribble.</w:t>
      </w:r>
    </w:p>
    <w:p w:rsidR="00B45F7C" w:rsidRPr="00881D79" w:rsidRDefault="003E7C2A" w:rsidP="00B45F7C">
      <w:pPr>
        <w:tabs>
          <w:tab w:val="left" w:pos="426"/>
        </w:tabs>
        <w:spacing w:after="0" w:line="240" w:lineRule="auto"/>
        <w:jc w:val="both"/>
        <w:rPr>
          <w:rFonts w:ascii="Arial" w:hAnsi="Arial" w:cs="Arial"/>
          <w:b/>
          <w:sz w:val="24"/>
          <w:szCs w:val="24"/>
        </w:rPr>
      </w:pPr>
    </w:p>
    <w:p w:rsidR="00B45F7C" w:rsidRPr="00881D79" w:rsidRDefault="00A44354" w:rsidP="0012770A">
      <w:pPr>
        <w:tabs>
          <w:tab w:val="left" w:pos="426"/>
        </w:tabs>
        <w:spacing w:after="0" w:line="240" w:lineRule="auto"/>
        <w:ind w:left="567" w:hanging="567"/>
        <w:jc w:val="both"/>
        <w:rPr>
          <w:rFonts w:ascii="Arial" w:hAnsi="Arial" w:cs="Arial"/>
          <w:b/>
          <w:sz w:val="24"/>
          <w:szCs w:val="24"/>
        </w:rPr>
      </w:pPr>
      <w:r w:rsidRPr="00881D79">
        <w:rPr>
          <w:rFonts w:ascii="Arial" w:hAnsi="Arial" w:cs="Arial"/>
          <w:b/>
          <w:sz w:val="24"/>
          <w:szCs w:val="24"/>
        </w:rPr>
        <w:t>10.0 Project activity continues to expedite specific site development matters including;</w:t>
      </w:r>
    </w:p>
    <w:p w:rsidR="00B45F7C" w:rsidRPr="00881D79" w:rsidRDefault="003E7C2A" w:rsidP="00B45F7C">
      <w:pPr>
        <w:tabs>
          <w:tab w:val="left" w:pos="426"/>
        </w:tabs>
        <w:spacing w:after="0" w:line="240" w:lineRule="auto"/>
        <w:jc w:val="both"/>
        <w:rPr>
          <w:rFonts w:ascii="Arial" w:hAnsi="Arial" w:cs="Arial"/>
          <w:sz w:val="24"/>
          <w:szCs w:val="24"/>
        </w:rPr>
      </w:pPr>
    </w:p>
    <w:p w:rsidR="00B45F7C" w:rsidRPr="00881D79" w:rsidRDefault="00A44354" w:rsidP="0012770A">
      <w:pPr>
        <w:numPr>
          <w:ilvl w:val="0"/>
          <w:numId w:val="8"/>
        </w:numPr>
        <w:tabs>
          <w:tab w:val="left" w:pos="426"/>
        </w:tabs>
        <w:spacing w:after="0" w:line="240" w:lineRule="auto"/>
        <w:ind w:left="714" w:hanging="357"/>
        <w:contextualSpacing/>
        <w:jc w:val="both"/>
        <w:rPr>
          <w:rFonts w:ascii="Arial" w:hAnsi="Arial" w:cs="Arial"/>
          <w:sz w:val="24"/>
          <w:szCs w:val="24"/>
        </w:rPr>
      </w:pPr>
      <w:r w:rsidRPr="00881D79">
        <w:rPr>
          <w:rFonts w:ascii="Arial" w:hAnsi="Arial" w:cs="Arial"/>
          <w:b/>
          <w:sz w:val="24"/>
          <w:szCs w:val="24"/>
        </w:rPr>
        <w:t>Bluebell Way</w:t>
      </w:r>
      <w:r w:rsidRPr="00881D79">
        <w:rPr>
          <w:rFonts w:ascii="Arial" w:hAnsi="Arial" w:cs="Arial"/>
          <w:sz w:val="24"/>
          <w:szCs w:val="24"/>
        </w:rPr>
        <w:t xml:space="preserve"> - The sales process for this site has been extended due to increased market interest and the requirement to extract best value. A formal tender process will be employed to fix a disposal date and conclude a sale. </w:t>
      </w:r>
    </w:p>
    <w:p w:rsidR="00B45F7C" w:rsidRPr="00881D79" w:rsidRDefault="00A44354" w:rsidP="0012770A">
      <w:pPr>
        <w:numPr>
          <w:ilvl w:val="0"/>
          <w:numId w:val="8"/>
        </w:numPr>
        <w:tabs>
          <w:tab w:val="left" w:pos="426"/>
        </w:tabs>
        <w:spacing w:after="0" w:line="240" w:lineRule="auto"/>
        <w:ind w:left="714" w:hanging="357"/>
        <w:contextualSpacing/>
        <w:jc w:val="both"/>
        <w:rPr>
          <w:rFonts w:ascii="Arial" w:hAnsi="Arial" w:cs="Arial"/>
          <w:sz w:val="24"/>
          <w:szCs w:val="24"/>
        </w:rPr>
      </w:pPr>
      <w:r w:rsidRPr="00881D79">
        <w:rPr>
          <w:rFonts w:ascii="Arial" w:hAnsi="Arial" w:cs="Arial"/>
          <w:b/>
          <w:sz w:val="24"/>
          <w:szCs w:val="24"/>
        </w:rPr>
        <w:t>Altus, Preston City Centre</w:t>
      </w:r>
      <w:r w:rsidRPr="00881D79">
        <w:rPr>
          <w:rFonts w:ascii="Arial" w:hAnsi="Arial" w:cs="Arial"/>
          <w:sz w:val="24"/>
          <w:szCs w:val="24"/>
        </w:rPr>
        <w:t xml:space="preserve"> – this site continues to be strongly marketed through City Deal and is a key scheme featured in the Invest Central Lancashire proposition launch. Preston City Council are developing a business case to attract an anchor tenant. </w:t>
      </w:r>
    </w:p>
    <w:p w:rsidR="00B45F7C" w:rsidRPr="00881D79" w:rsidRDefault="00A44354" w:rsidP="0012770A">
      <w:pPr>
        <w:numPr>
          <w:ilvl w:val="0"/>
          <w:numId w:val="8"/>
        </w:numPr>
        <w:tabs>
          <w:tab w:val="left" w:pos="426"/>
        </w:tabs>
        <w:spacing w:after="0" w:line="240" w:lineRule="auto"/>
        <w:ind w:left="714" w:hanging="357"/>
        <w:contextualSpacing/>
        <w:jc w:val="both"/>
        <w:rPr>
          <w:rFonts w:ascii="Arial" w:hAnsi="Arial" w:cs="Arial"/>
          <w:sz w:val="24"/>
          <w:szCs w:val="24"/>
        </w:rPr>
      </w:pPr>
      <w:r w:rsidRPr="00881D79">
        <w:rPr>
          <w:rFonts w:ascii="Arial" w:hAnsi="Arial" w:cs="Arial"/>
          <w:b/>
          <w:sz w:val="24"/>
          <w:szCs w:val="24"/>
        </w:rPr>
        <w:t xml:space="preserve">Cuerden Strategic Site (Lancashire Central) </w:t>
      </w:r>
      <w:r w:rsidRPr="00881D79">
        <w:rPr>
          <w:rFonts w:ascii="Arial" w:hAnsi="Arial" w:cs="Arial"/>
          <w:sz w:val="24"/>
          <w:szCs w:val="24"/>
        </w:rPr>
        <w:t xml:space="preserve">- has been subject to recent press releases in relation to its anchor tenant, IKEA, who have expressed a wish to withdraw their plans. Lancashire County Council will continue to work hard with their partners to ensure they reach the best possible outcome for the site. </w:t>
      </w:r>
    </w:p>
    <w:p w:rsidR="00B45F7C" w:rsidRPr="00881D79" w:rsidRDefault="00A44354" w:rsidP="0012770A">
      <w:pPr>
        <w:numPr>
          <w:ilvl w:val="0"/>
          <w:numId w:val="8"/>
        </w:numPr>
        <w:spacing w:after="0" w:line="240" w:lineRule="auto"/>
        <w:ind w:left="714" w:hanging="357"/>
        <w:contextualSpacing/>
        <w:jc w:val="both"/>
        <w:rPr>
          <w:rFonts w:ascii="Arial" w:hAnsi="Arial" w:cs="Arial"/>
          <w:sz w:val="24"/>
          <w:szCs w:val="24"/>
        </w:rPr>
      </w:pPr>
      <w:r w:rsidRPr="00881D79">
        <w:rPr>
          <w:rFonts w:ascii="Arial" w:hAnsi="Arial" w:cs="Arial"/>
          <w:b/>
          <w:sz w:val="24"/>
          <w:szCs w:val="24"/>
        </w:rPr>
        <w:t xml:space="preserve">Pickerings Farm </w:t>
      </w:r>
      <w:r w:rsidRPr="00881D79">
        <w:rPr>
          <w:rFonts w:ascii="Arial" w:hAnsi="Arial" w:cs="Arial"/>
          <w:sz w:val="24"/>
          <w:szCs w:val="24"/>
        </w:rPr>
        <w:t xml:space="preserve">- A masterplan is being prepared that will inform potential commercial uses. </w:t>
      </w:r>
    </w:p>
    <w:p w:rsidR="00B45F7C" w:rsidRPr="00881D79" w:rsidRDefault="003E7C2A" w:rsidP="0012770A">
      <w:pPr>
        <w:tabs>
          <w:tab w:val="left" w:pos="426"/>
        </w:tabs>
        <w:spacing w:after="0" w:line="240" w:lineRule="auto"/>
        <w:jc w:val="both"/>
        <w:rPr>
          <w:rFonts w:ascii="Arial" w:hAnsi="Arial" w:cs="Arial"/>
          <w:sz w:val="24"/>
          <w:szCs w:val="24"/>
        </w:rPr>
      </w:pPr>
    </w:p>
    <w:p w:rsidR="00B45F7C" w:rsidRPr="00881D79" w:rsidRDefault="00A44354" w:rsidP="00B45F7C">
      <w:pPr>
        <w:tabs>
          <w:tab w:val="left" w:pos="426"/>
        </w:tabs>
        <w:spacing w:after="0" w:line="240" w:lineRule="auto"/>
        <w:ind w:left="360" w:hanging="360"/>
        <w:jc w:val="both"/>
        <w:rPr>
          <w:rFonts w:ascii="Arial" w:hAnsi="Arial" w:cs="Arial"/>
          <w:b/>
          <w:sz w:val="24"/>
          <w:szCs w:val="24"/>
        </w:rPr>
      </w:pPr>
      <w:r w:rsidRPr="00881D79">
        <w:rPr>
          <w:rFonts w:ascii="Arial" w:hAnsi="Arial" w:cs="Arial"/>
          <w:b/>
          <w:sz w:val="24"/>
          <w:szCs w:val="24"/>
        </w:rPr>
        <w:t xml:space="preserve">11.0 Notable progress has been made on the following named sites: </w:t>
      </w:r>
    </w:p>
    <w:p w:rsidR="00B45F7C" w:rsidRPr="00881D79" w:rsidRDefault="003E7C2A" w:rsidP="00B45F7C">
      <w:pPr>
        <w:tabs>
          <w:tab w:val="left" w:pos="426"/>
        </w:tabs>
        <w:spacing w:after="0" w:line="240" w:lineRule="auto"/>
        <w:ind w:left="360" w:hanging="360"/>
        <w:jc w:val="both"/>
        <w:rPr>
          <w:rFonts w:ascii="Arial" w:hAnsi="Arial" w:cs="Arial"/>
          <w:sz w:val="24"/>
          <w:szCs w:val="24"/>
        </w:rPr>
      </w:pPr>
    </w:p>
    <w:p w:rsidR="00B45F7C" w:rsidRPr="00881D79" w:rsidRDefault="00A44354" w:rsidP="0012770A">
      <w:pPr>
        <w:numPr>
          <w:ilvl w:val="0"/>
          <w:numId w:val="9"/>
        </w:numPr>
        <w:tabs>
          <w:tab w:val="left" w:pos="426"/>
        </w:tabs>
        <w:spacing w:after="0" w:line="240" w:lineRule="auto"/>
        <w:ind w:left="714" w:hanging="357"/>
        <w:contextualSpacing/>
        <w:jc w:val="both"/>
        <w:rPr>
          <w:rFonts w:ascii="Arial" w:hAnsi="Arial" w:cs="Arial"/>
          <w:sz w:val="24"/>
          <w:szCs w:val="24"/>
        </w:rPr>
      </w:pPr>
      <w:r w:rsidRPr="00881D79">
        <w:rPr>
          <w:rFonts w:ascii="Arial" w:hAnsi="Arial" w:cs="Arial"/>
          <w:b/>
          <w:sz w:val="24"/>
          <w:szCs w:val="24"/>
        </w:rPr>
        <w:t xml:space="preserve">Eastway </w:t>
      </w:r>
      <w:r w:rsidRPr="00881D79">
        <w:rPr>
          <w:rFonts w:ascii="Arial" w:hAnsi="Arial" w:cs="Arial"/>
          <w:sz w:val="24"/>
          <w:szCs w:val="24"/>
        </w:rPr>
        <w:t>– Planning consent has been obtained for 5,596 sq m warehouse and health care centre.</w:t>
      </w:r>
    </w:p>
    <w:p w:rsidR="00B45F7C" w:rsidRPr="00881D79" w:rsidRDefault="00A44354" w:rsidP="0012770A">
      <w:pPr>
        <w:numPr>
          <w:ilvl w:val="0"/>
          <w:numId w:val="9"/>
        </w:numPr>
        <w:spacing w:after="0" w:line="240" w:lineRule="auto"/>
        <w:ind w:left="714" w:hanging="357"/>
        <w:contextualSpacing/>
        <w:jc w:val="both"/>
        <w:rPr>
          <w:rFonts w:ascii="Arial" w:hAnsi="Arial" w:cs="Arial"/>
          <w:sz w:val="24"/>
          <w:szCs w:val="24"/>
        </w:rPr>
      </w:pPr>
      <w:r w:rsidRPr="00881D79">
        <w:rPr>
          <w:rFonts w:ascii="Arial" w:hAnsi="Arial" w:cs="Arial"/>
          <w:b/>
          <w:sz w:val="24"/>
          <w:szCs w:val="24"/>
        </w:rPr>
        <w:t>Preston East Employment Area</w:t>
      </w:r>
      <w:r w:rsidRPr="00881D79">
        <w:rPr>
          <w:rFonts w:ascii="Arial" w:hAnsi="Arial" w:cs="Arial"/>
          <w:sz w:val="24"/>
          <w:szCs w:val="24"/>
        </w:rPr>
        <w:t xml:space="preserve"> – build out is continuing and  plans are being put in place to progress the due diligence and marketing strategy for Preston East Employment Expansion Land that will release land supply to meet anticipated future demand.</w:t>
      </w:r>
    </w:p>
    <w:p w:rsidR="00B45F7C" w:rsidRPr="00881D79" w:rsidRDefault="00A44354" w:rsidP="0012770A">
      <w:pPr>
        <w:numPr>
          <w:ilvl w:val="0"/>
          <w:numId w:val="9"/>
        </w:numPr>
        <w:spacing w:after="0" w:line="240" w:lineRule="auto"/>
        <w:ind w:left="714" w:hanging="357"/>
        <w:contextualSpacing/>
        <w:jc w:val="both"/>
        <w:rPr>
          <w:rFonts w:ascii="Arial" w:hAnsi="Arial" w:cs="Arial"/>
          <w:sz w:val="24"/>
          <w:szCs w:val="24"/>
        </w:rPr>
      </w:pPr>
      <w:r w:rsidRPr="00881D79">
        <w:rPr>
          <w:rFonts w:ascii="Arial" w:hAnsi="Arial" w:cs="Arial"/>
          <w:b/>
          <w:sz w:val="24"/>
          <w:szCs w:val="24"/>
        </w:rPr>
        <w:t>The Guild Hall Theatre</w:t>
      </w:r>
      <w:r w:rsidRPr="00881D79">
        <w:rPr>
          <w:rFonts w:ascii="Arial" w:hAnsi="Arial" w:cs="Arial"/>
          <w:sz w:val="24"/>
          <w:szCs w:val="24"/>
        </w:rPr>
        <w:t xml:space="preserve"> - has completed the refurbishment of its new leisure destination (LeVel), whilst the new Market Hall has been completed.</w:t>
      </w:r>
    </w:p>
    <w:p w:rsidR="00B45F7C" w:rsidRPr="00881D79" w:rsidRDefault="00A44354" w:rsidP="0012770A">
      <w:pPr>
        <w:numPr>
          <w:ilvl w:val="0"/>
          <w:numId w:val="9"/>
        </w:numPr>
        <w:spacing w:after="0" w:line="240" w:lineRule="auto"/>
        <w:ind w:left="714" w:hanging="357"/>
        <w:contextualSpacing/>
        <w:jc w:val="both"/>
        <w:rPr>
          <w:rFonts w:ascii="Arial" w:hAnsi="Arial" w:cs="Arial"/>
          <w:sz w:val="24"/>
          <w:szCs w:val="24"/>
        </w:rPr>
      </w:pPr>
      <w:r w:rsidRPr="00881D79">
        <w:rPr>
          <w:rFonts w:ascii="Arial" w:hAnsi="Arial" w:cs="Arial"/>
          <w:b/>
          <w:sz w:val="24"/>
          <w:szCs w:val="24"/>
        </w:rPr>
        <w:t>Engineering Innovation Centre (EIC)</w:t>
      </w:r>
      <w:r w:rsidRPr="00881D79">
        <w:rPr>
          <w:rFonts w:ascii="Arial" w:hAnsi="Arial" w:cs="Arial"/>
          <w:sz w:val="24"/>
          <w:szCs w:val="24"/>
        </w:rPr>
        <w:t xml:space="preserve"> - progress is being maintained on the construction of this centre with further phases including the £60m Student Centre undergoing preparation.</w:t>
      </w:r>
    </w:p>
    <w:p w:rsidR="00B45F7C" w:rsidRPr="00881D79" w:rsidRDefault="00A44354" w:rsidP="0012770A">
      <w:pPr>
        <w:numPr>
          <w:ilvl w:val="0"/>
          <w:numId w:val="9"/>
        </w:numPr>
        <w:tabs>
          <w:tab w:val="left" w:pos="426"/>
        </w:tabs>
        <w:spacing w:after="0" w:line="240" w:lineRule="auto"/>
        <w:ind w:left="714" w:hanging="357"/>
        <w:contextualSpacing/>
        <w:jc w:val="both"/>
        <w:rPr>
          <w:rFonts w:ascii="Arial" w:hAnsi="Arial" w:cs="Arial"/>
          <w:sz w:val="24"/>
          <w:szCs w:val="24"/>
        </w:rPr>
      </w:pPr>
      <w:r w:rsidRPr="00881D79">
        <w:rPr>
          <w:rFonts w:ascii="Arial" w:hAnsi="Arial" w:cs="Arial"/>
          <w:b/>
          <w:sz w:val="24"/>
          <w:szCs w:val="24"/>
        </w:rPr>
        <w:lastRenderedPageBreak/>
        <w:t>Queen's Shopping Park (Horrockses</w:t>
      </w:r>
      <w:r w:rsidRPr="00881D79">
        <w:rPr>
          <w:rFonts w:ascii="Arial" w:hAnsi="Arial" w:cs="Arial"/>
          <w:sz w:val="24"/>
          <w:szCs w:val="24"/>
        </w:rPr>
        <w:t>) - progress is being maintained with Phase 2 completed and planning applications consented for additional phases.</w:t>
      </w:r>
    </w:p>
    <w:p w:rsidR="00B45F7C" w:rsidRPr="00881D79" w:rsidRDefault="00A44354" w:rsidP="0012770A">
      <w:pPr>
        <w:numPr>
          <w:ilvl w:val="0"/>
          <w:numId w:val="9"/>
        </w:numPr>
        <w:tabs>
          <w:tab w:val="left" w:pos="426"/>
        </w:tabs>
        <w:spacing w:after="0" w:line="240" w:lineRule="auto"/>
        <w:ind w:left="714" w:hanging="357"/>
        <w:contextualSpacing/>
        <w:jc w:val="both"/>
        <w:rPr>
          <w:rFonts w:ascii="Arial" w:hAnsi="Arial" w:cs="Arial"/>
          <w:sz w:val="24"/>
          <w:szCs w:val="24"/>
        </w:rPr>
      </w:pPr>
      <w:r w:rsidRPr="00881D79">
        <w:rPr>
          <w:rFonts w:ascii="Arial" w:hAnsi="Arial" w:cs="Arial"/>
          <w:b/>
          <w:sz w:val="24"/>
          <w:szCs w:val="24"/>
        </w:rPr>
        <w:t>South Rings Phase 2</w:t>
      </w:r>
      <w:r w:rsidRPr="00881D79">
        <w:rPr>
          <w:rFonts w:ascii="Arial" w:hAnsi="Arial" w:cs="Arial"/>
          <w:sz w:val="24"/>
          <w:szCs w:val="24"/>
        </w:rPr>
        <w:t xml:space="preserve"> - hybrid units have been partly completed ahead of schedule with strong pre-sales occupied.</w:t>
      </w:r>
    </w:p>
    <w:p w:rsidR="00B45F7C" w:rsidRPr="00881D79" w:rsidRDefault="00A44354" w:rsidP="0012770A">
      <w:pPr>
        <w:numPr>
          <w:ilvl w:val="0"/>
          <w:numId w:val="9"/>
        </w:numPr>
        <w:tabs>
          <w:tab w:val="left" w:pos="426"/>
        </w:tabs>
        <w:spacing w:after="0" w:line="240" w:lineRule="auto"/>
        <w:ind w:left="714" w:hanging="357"/>
        <w:contextualSpacing/>
        <w:jc w:val="both"/>
        <w:rPr>
          <w:rFonts w:ascii="Arial" w:hAnsi="Arial" w:cs="Arial"/>
          <w:sz w:val="24"/>
          <w:szCs w:val="24"/>
        </w:rPr>
      </w:pPr>
      <w:r w:rsidRPr="00881D79">
        <w:rPr>
          <w:rFonts w:ascii="Arial" w:hAnsi="Arial" w:cs="Arial"/>
          <w:b/>
          <w:sz w:val="24"/>
          <w:szCs w:val="24"/>
        </w:rPr>
        <w:t xml:space="preserve">Moss Side Test Track </w:t>
      </w:r>
      <w:r w:rsidRPr="00881D79">
        <w:rPr>
          <w:rFonts w:ascii="Arial" w:hAnsi="Arial" w:cs="Arial"/>
          <w:sz w:val="24"/>
          <w:szCs w:val="24"/>
        </w:rPr>
        <w:t xml:space="preserve">– A masterplan has been adopted and planning application submitted, included within which is a range of commercial space. </w:t>
      </w:r>
    </w:p>
    <w:p w:rsidR="000F5301" w:rsidRPr="00881D79" w:rsidRDefault="003E7C2A" w:rsidP="00B45F7C">
      <w:pPr>
        <w:tabs>
          <w:tab w:val="left" w:pos="426"/>
        </w:tabs>
        <w:spacing w:after="0" w:line="240" w:lineRule="auto"/>
        <w:jc w:val="both"/>
        <w:rPr>
          <w:rFonts w:ascii="Arial" w:hAnsi="Arial" w:cs="Arial"/>
          <w:b/>
          <w:sz w:val="24"/>
          <w:szCs w:val="24"/>
        </w:rPr>
      </w:pPr>
    </w:p>
    <w:p w:rsidR="00B45F7C" w:rsidRPr="00881D79" w:rsidRDefault="00A44354" w:rsidP="00B45F7C">
      <w:pPr>
        <w:tabs>
          <w:tab w:val="left" w:pos="426"/>
        </w:tabs>
        <w:spacing w:after="0" w:line="240" w:lineRule="auto"/>
        <w:jc w:val="both"/>
        <w:rPr>
          <w:rFonts w:ascii="Arial" w:hAnsi="Arial" w:cs="Arial"/>
          <w:b/>
          <w:sz w:val="24"/>
          <w:szCs w:val="24"/>
        </w:rPr>
      </w:pPr>
      <w:r w:rsidRPr="00881D79">
        <w:rPr>
          <w:rFonts w:ascii="Arial" w:hAnsi="Arial" w:cs="Arial"/>
          <w:b/>
          <w:sz w:val="24"/>
          <w:szCs w:val="24"/>
        </w:rPr>
        <w:t>12.0 The following sites have not progressed as anticipated:</w:t>
      </w:r>
    </w:p>
    <w:p w:rsidR="00B45F7C" w:rsidRPr="00881D79" w:rsidRDefault="003E7C2A" w:rsidP="00B45F7C">
      <w:pPr>
        <w:tabs>
          <w:tab w:val="left" w:pos="426"/>
        </w:tabs>
        <w:spacing w:after="0" w:line="240" w:lineRule="auto"/>
        <w:jc w:val="both"/>
        <w:rPr>
          <w:rFonts w:ascii="Arial" w:hAnsi="Arial" w:cs="Arial"/>
          <w:sz w:val="24"/>
          <w:szCs w:val="24"/>
        </w:rPr>
      </w:pPr>
    </w:p>
    <w:p w:rsidR="00B45F7C" w:rsidRPr="00881D79" w:rsidRDefault="00A44354" w:rsidP="00B45F7C">
      <w:pPr>
        <w:numPr>
          <w:ilvl w:val="0"/>
          <w:numId w:val="10"/>
        </w:numPr>
        <w:tabs>
          <w:tab w:val="left" w:pos="426"/>
        </w:tabs>
        <w:spacing w:after="160" w:line="259" w:lineRule="auto"/>
        <w:contextualSpacing/>
        <w:jc w:val="both"/>
        <w:rPr>
          <w:rFonts w:ascii="Arial" w:hAnsi="Arial" w:cs="Arial"/>
          <w:sz w:val="24"/>
          <w:szCs w:val="24"/>
        </w:rPr>
      </w:pPr>
      <w:r w:rsidRPr="00881D79">
        <w:rPr>
          <w:rFonts w:ascii="Arial" w:hAnsi="Arial" w:cs="Arial"/>
          <w:b/>
          <w:sz w:val="24"/>
          <w:szCs w:val="24"/>
        </w:rPr>
        <w:t>Cottam Hall</w:t>
      </w:r>
      <w:r w:rsidRPr="00881D79">
        <w:rPr>
          <w:rFonts w:ascii="Arial" w:hAnsi="Arial" w:cs="Arial"/>
          <w:sz w:val="24"/>
          <w:szCs w:val="24"/>
        </w:rPr>
        <w:t xml:space="preserve"> – it is not expected to contain a commercial element. </w:t>
      </w:r>
    </w:p>
    <w:p w:rsidR="00B45F7C" w:rsidRPr="00881D79" w:rsidRDefault="00A44354" w:rsidP="00B45F7C">
      <w:pPr>
        <w:numPr>
          <w:ilvl w:val="0"/>
          <w:numId w:val="10"/>
        </w:numPr>
        <w:spacing w:after="0" w:line="240" w:lineRule="auto"/>
        <w:contextualSpacing/>
        <w:jc w:val="both"/>
        <w:rPr>
          <w:rFonts w:ascii="Arial" w:hAnsi="Arial" w:cs="Arial"/>
          <w:sz w:val="24"/>
          <w:szCs w:val="24"/>
        </w:rPr>
      </w:pPr>
      <w:r w:rsidRPr="00881D79">
        <w:rPr>
          <w:rFonts w:ascii="Arial" w:hAnsi="Arial" w:cs="Arial"/>
          <w:b/>
          <w:sz w:val="24"/>
          <w:szCs w:val="24"/>
        </w:rPr>
        <w:t>Cottam Brickworks</w:t>
      </w:r>
      <w:r w:rsidRPr="00881D79">
        <w:rPr>
          <w:rFonts w:ascii="Arial" w:hAnsi="Arial" w:cs="Arial"/>
          <w:sz w:val="24"/>
          <w:szCs w:val="24"/>
        </w:rPr>
        <w:t xml:space="preserve"> – the site is not progressing as expected, and will be subject to review at the Development Site Delivery Group. </w:t>
      </w:r>
    </w:p>
    <w:p w:rsidR="00B45F7C" w:rsidRPr="00881D79" w:rsidRDefault="00A44354" w:rsidP="00B45F7C">
      <w:pPr>
        <w:numPr>
          <w:ilvl w:val="0"/>
          <w:numId w:val="10"/>
        </w:numPr>
        <w:tabs>
          <w:tab w:val="left" w:pos="426"/>
        </w:tabs>
        <w:spacing w:after="160" w:line="259" w:lineRule="auto"/>
        <w:contextualSpacing/>
        <w:jc w:val="both"/>
        <w:rPr>
          <w:rFonts w:ascii="Arial" w:hAnsi="Arial" w:cs="Arial"/>
          <w:sz w:val="24"/>
          <w:szCs w:val="24"/>
        </w:rPr>
      </w:pPr>
      <w:r w:rsidRPr="00881D79">
        <w:rPr>
          <w:rFonts w:ascii="Arial" w:hAnsi="Arial" w:cs="Arial"/>
          <w:b/>
          <w:sz w:val="24"/>
          <w:szCs w:val="24"/>
        </w:rPr>
        <w:t>Whittingham Hospital</w:t>
      </w:r>
      <w:r w:rsidRPr="00881D79">
        <w:rPr>
          <w:rFonts w:ascii="Arial" w:hAnsi="Arial" w:cs="Arial"/>
          <w:sz w:val="24"/>
          <w:szCs w:val="24"/>
        </w:rPr>
        <w:t xml:space="preserve"> – there is no commercial use in the current masterplan due to a lack of market demand.</w:t>
      </w:r>
    </w:p>
    <w:p w:rsidR="00B45F7C" w:rsidRPr="00881D79" w:rsidRDefault="00A44354" w:rsidP="00B45F7C">
      <w:pPr>
        <w:numPr>
          <w:ilvl w:val="0"/>
          <w:numId w:val="10"/>
        </w:numPr>
        <w:tabs>
          <w:tab w:val="left" w:pos="426"/>
        </w:tabs>
        <w:spacing w:after="160" w:line="259" w:lineRule="auto"/>
        <w:contextualSpacing/>
        <w:jc w:val="both"/>
        <w:rPr>
          <w:rFonts w:ascii="Arial" w:hAnsi="Arial" w:cs="Arial"/>
          <w:sz w:val="24"/>
          <w:szCs w:val="24"/>
        </w:rPr>
      </w:pPr>
      <w:r w:rsidRPr="00881D79">
        <w:rPr>
          <w:rFonts w:ascii="Arial" w:hAnsi="Arial" w:cs="Arial"/>
          <w:b/>
          <w:sz w:val="24"/>
          <w:szCs w:val="24"/>
        </w:rPr>
        <w:t>College House</w:t>
      </w:r>
      <w:r w:rsidRPr="00881D79">
        <w:rPr>
          <w:rFonts w:ascii="Arial" w:hAnsi="Arial" w:cs="Arial"/>
          <w:sz w:val="24"/>
          <w:szCs w:val="24"/>
        </w:rPr>
        <w:t xml:space="preserve"> – there has been little activity from the landowner to bring the site forward.</w:t>
      </w:r>
    </w:p>
    <w:p w:rsidR="00B45F7C" w:rsidRPr="00881D79" w:rsidRDefault="00A44354" w:rsidP="00B45F7C">
      <w:pPr>
        <w:numPr>
          <w:ilvl w:val="0"/>
          <w:numId w:val="10"/>
        </w:numPr>
        <w:tabs>
          <w:tab w:val="left" w:pos="426"/>
        </w:tabs>
        <w:spacing w:after="160" w:line="259" w:lineRule="auto"/>
        <w:contextualSpacing/>
        <w:jc w:val="both"/>
        <w:rPr>
          <w:rFonts w:ascii="Arial" w:hAnsi="Arial" w:cs="Arial"/>
          <w:sz w:val="24"/>
          <w:szCs w:val="24"/>
        </w:rPr>
      </w:pPr>
      <w:r w:rsidRPr="00881D79">
        <w:rPr>
          <w:rFonts w:ascii="Arial" w:hAnsi="Arial" w:cs="Arial"/>
          <w:b/>
          <w:sz w:val="24"/>
          <w:szCs w:val="24"/>
        </w:rPr>
        <w:t>Cop Lane, Penwortham</w:t>
      </w:r>
      <w:r w:rsidRPr="00881D79">
        <w:rPr>
          <w:rFonts w:ascii="Arial" w:hAnsi="Arial" w:cs="Arial"/>
          <w:sz w:val="24"/>
          <w:szCs w:val="24"/>
        </w:rPr>
        <w:t xml:space="preserve"> – Tesco have recently pulled out of the site but which has  now been re-marketed and is attracting strong market interest.</w:t>
      </w:r>
    </w:p>
    <w:p w:rsidR="00B45F7C" w:rsidRPr="00881D79" w:rsidRDefault="003E7C2A" w:rsidP="00B45F7C">
      <w:pPr>
        <w:spacing w:after="0" w:line="240" w:lineRule="auto"/>
        <w:jc w:val="both"/>
        <w:rPr>
          <w:rFonts w:ascii="Arial" w:hAnsi="Arial" w:cs="Arial"/>
          <w:b/>
          <w:sz w:val="24"/>
          <w:szCs w:val="24"/>
        </w:rPr>
      </w:pPr>
    </w:p>
    <w:p w:rsidR="00B45F7C" w:rsidRPr="00881D79" w:rsidRDefault="00A44354" w:rsidP="00B45F7C">
      <w:pPr>
        <w:spacing w:after="0" w:line="240" w:lineRule="auto"/>
        <w:jc w:val="both"/>
        <w:rPr>
          <w:rFonts w:ascii="Arial" w:hAnsi="Arial" w:cs="Arial"/>
          <w:b/>
          <w:sz w:val="24"/>
          <w:szCs w:val="24"/>
        </w:rPr>
      </w:pPr>
      <w:r w:rsidRPr="00881D79">
        <w:rPr>
          <w:rFonts w:ascii="Arial" w:hAnsi="Arial" w:cs="Arial"/>
          <w:b/>
          <w:sz w:val="24"/>
          <w:szCs w:val="24"/>
        </w:rPr>
        <w:t>13.0 Jobs related to commercial floorspace</w:t>
      </w:r>
    </w:p>
    <w:p w:rsidR="00B45F7C" w:rsidRPr="00881D79" w:rsidRDefault="003E7C2A" w:rsidP="00B45F7C">
      <w:pPr>
        <w:spacing w:after="0" w:line="240" w:lineRule="auto"/>
        <w:jc w:val="both"/>
        <w:rPr>
          <w:rFonts w:ascii="Arial" w:hAnsi="Arial" w:cs="Arial"/>
          <w:b/>
          <w:sz w:val="24"/>
          <w:szCs w:val="24"/>
        </w:rPr>
      </w:pPr>
    </w:p>
    <w:p w:rsidR="00B45F7C" w:rsidRPr="00881D79" w:rsidRDefault="00A44354" w:rsidP="00B45F7C">
      <w:pPr>
        <w:spacing w:after="0" w:line="240" w:lineRule="auto"/>
        <w:ind w:left="567" w:hanging="567"/>
        <w:jc w:val="both"/>
        <w:rPr>
          <w:rFonts w:ascii="Arial" w:hAnsi="Arial" w:cs="Arial"/>
          <w:sz w:val="24"/>
          <w:szCs w:val="24"/>
        </w:rPr>
      </w:pPr>
      <w:r w:rsidRPr="00881D79">
        <w:rPr>
          <w:rFonts w:ascii="Arial" w:hAnsi="Arial" w:cs="Arial"/>
          <w:sz w:val="24"/>
          <w:szCs w:val="24"/>
        </w:rPr>
        <w:t>13.1 There have been a total of 1,670</w:t>
      </w:r>
      <w:r w:rsidRPr="00881D79">
        <w:rPr>
          <w:rFonts w:ascii="Arial" w:hAnsi="Arial" w:cs="Arial"/>
          <w:color w:val="FF0000"/>
          <w:sz w:val="24"/>
          <w:szCs w:val="24"/>
        </w:rPr>
        <w:t xml:space="preserve"> </w:t>
      </w:r>
      <w:r w:rsidRPr="00881D79">
        <w:rPr>
          <w:rFonts w:ascii="Arial" w:hAnsi="Arial" w:cs="Arial"/>
          <w:sz w:val="24"/>
          <w:szCs w:val="24"/>
        </w:rPr>
        <w:t xml:space="preserve">jobs in Year 4 associated with City Deal commercial floorspace completions, infrastructure construction, new letting and acquisitions of existing commercial floorspace and BOOST business support activities. </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B45F7C">
      <w:pPr>
        <w:spacing w:after="0" w:line="240" w:lineRule="auto"/>
        <w:ind w:left="567" w:hanging="567"/>
        <w:jc w:val="both"/>
        <w:rPr>
          <w:rFonts w:ascii="Arial" w:hAnsi="Arial" w:cs="Arial"/>
          <w:sz w:val="24"/>
          <w:szCs w:val="24"/>
        </w:rPr>
      </w:pPr>
      <w:r w:rsidRPr="00881D79">
        <w:rPr>
          <w:rFonts w:ascii="Arial" w:hAnsi="Arial" w:cs="Arial"/>
          <w:sz w:val="24"/>
          <w:szCs w:val="24"/>
        </w:rPr>
        <w:t xml:space="preserve">13.2 This excludes employment associated with the apprenticeships, for which data is not yet available due to academic years.  </w:t>
      </w:r>
    </w:p>
    <w:p w:rsidR="00B45F7C" w:rsidRPr="00881D79" w:rsidRDefault="003E7C2A" w:rsidP="0012770A">
      <w:pPr>
        <w:spacing w:after="0" w:line="240" w:lineRule="auto"/>
        <w:jc w:val="both"/>
        <w:rPr>
          <w:rFonts w:ascii="Arial" w:hAnsi="Arial" w:cs="Arial"/>
          <w:sz w:val="24"/>
          <w:szCs w:val="24"/>
        </w:rPr>
      </w:pPr>
    </w:p>
    <w:p w:rsidR="00B45F7C" w:rsidRPr="00881D79" w:rsidRDefault="00A44354" w:rsidP="00B45F7C">
      <w:pPr>
        <w:spacing w:after="0" w:line="240" w:lineRule="auto"/>
        <w:ind w:left="284" w:hanging="426"/>
        <w:jc w:val="both"/>
        <w:rPr>
          <w:rFonts w:ascii="Arial" w:hAnsi="Arial" w:cs="Arial"/>
          <w:sz w:val="24"/>
          <w:szCs w:val="24"/>
        </w:rPr>
      </w:pPr>
      <w:r w:rsidRPr="00881D79">
        <w:rPr>
          <w:rFonts w:ascii="Arial" w:hAnsi="Arial" w:cs="Arial"/>
          <w:sz w:val="24"/>
          <w:szCs w:val="24"/>
        </w:rPr>
        <w:t>Table 4 below provides a breakdown of jobs targets and outputs.</w:t>
      </w:r>
    </w:p>
    <w:p w:rsidR="00B45F7C" w:rsidRPr="00881D79" w:rsidRDefault="003E7C2A" w:rsidP="00B45F7C">
      <w:pPr>
        <w:spacing w:after="0" w:line="240" w:lineRule="auto"/>
        <w:ind w:left="284" w:hanging="426"/>
        <w:jc w:val="both"/>
        <w:rPr>
          <w:rFonts w:ascii="Arial" w:hAnsi="Arial" w:cs="Arial"/>
          <w:sz w:val="24"/>
          <w:szCs w:val="24"/>
        </w:rPr>
      </w:pPr>
    </w:p>
    <w:p w:rsidR="00B45F7C" w:rsidRPr="00881D79" w:rsidRDefault="00A44354" w:rsidP="00B45F7C">
      <w:pPr>
        <w:spacing w:after="0" w:line="240" w:lineRule="auto"/>
        <w:ind w:left="284" w:hanging="426"/>
        <w:jc w:val="both"/>
        <w:rPr>
          <w:rFonts w:ascii="Arial" w:hAnsi="Arial" w:cs="Arial"/>
          <w:b/>
          <w:sz w:val="24"/>
          <w:szCs w:val="24"/>
        </w:rPr>
      </w:pPr>
      <w:r w:rsidRPr="00881D79">
        <w:rPr>
          <w:rFonts w:ascii="Arial" w:hAnsi="Arial" w:cs="Arial"/>
          <w:b/>
          <w:sz w:val="24"/>
          <w:szCs w:val="24"/>
        </w:rPr>
        <w:t>Table 4:  Jobs – outputs</w:t>
      </w:r>
    </w:p>
    <w:tbl>
      <w:tblPr>
        <w:tblStyle w:val="TableGrid1"/>
        <w:tblW w:w="5000" w:type="pct"/>
        <w:tblLayout w:type="fixed"/>
        <w:tblLook w:val="04A0" w:firstRow="1" w:lastRow="0" w:firstColumn="1" w:lastColumn="0" w:noHBand="0" w:noVBand="1"/>
      </w:tblPr>
      <w:tblGrid>
        <w:gridCol w:w="3073"/>
        <w:gridCol w:w="1981"/>
        <w:gridCol w:w="1981"/>
        <w:gridCol w:w="1981"/>
      </w:tblGrid>
      <w:tr w:rsidR="009E2CA8" w:rsidRPr="00881D79" w:rsidTr="00B45F7C">
        <w:tc>
          <w:tcPr>
            <w:tcW w:w="3073" w:type="dxa"/>
            <w:tcBorders>
              <w:top w:val="single" w:sz="4" w:space="0" w:color="auto"/>
              <w:left w:val="single" w:sz="4" w:space="0" w:color="auto"/>
              <w:bottom w:val="single" w:sz="4" w:space="0" w:color="auto"/>
              <w:right w:val="single" w:sz="4" w:space="0" w:color="auto"/>
            </w:tcBorders>
            <w:hideMark/>
          </w:tcPr>
          <w:p w:rsidR="00B45F7C" w:rsidRPr="00881D79" w:rsidRDefault="00A44354" w:rsidP="0012770A">
            <w:pPr>
              <w:rPr>
                <w:rFonts w:ascii="Arial" w:hAnsi="Arial" w:cs="Arial"/>
                <w:b/>
                <w:sz w:val="24"/>
                <w:szCs w:val="24"/>
              </w:rPr>
            </w:pPr>
            <w:r w:rsidRPr="00881D79">
              <w:rPr>
                <w:rFonts w:ascii="Arial" w:hAnsi="Arial" w:cs="Arial"/>
                <w:b/>
                <w:sz w:val="24"/>
                <w:szCs w:val="24"/>
              </w:rPr>
              <w:t>Jobs outputs</w:t>
            </w:r>
          </w:p>
        </w:tc>
        <w:tc>
          <w:tcPr>
            <w:tcW w:w="1981" w:type="dxa"/>
            <w:tcBorders>
              <w:top w:val="single" w:sz="4" w:space="0" w:color="auto"/>
              <w:left w:val="single" w:sz="4" w:space="0" w:color="auto"/>
              <w:bottom w:val="single" w:sz="4" w:space="0" w:color="auto"/>
              <w:right w:val="single" w:sz="4" w:space="0" w:color="auto"/>
            </w:tcBorders>
            <w:hideMark/>
          </w:tcPr>
          <w:p w:rsidR="00B45F7C" w:rsidRPr="00881D79" w:rsidRDefault="00A44354" w:rsidP="0012770A">
            <w:pPr>
              <w:rPr>
                <w:rFonts w:ascii="Arial" w:hAnsi="Arial" w:cs="Arial"/>
                <w:b/>
                <w:sz w:val="24"/>
                <w:szCs w:val="24"/>
              </w:rPr>
            </w:pPr>
            <w:r w:rsidRPr="00881D79">
              <w:rPr>
                <w:rFonts w:ascii="Arial" w:hAnsi="Arial" w:cs="Arial"/>
                <w:b/>
                <w:sz w:val="24"/>
                <w:szCs w:val="24"/>
              </w:rPr>
              <w:t>17/18 Trajectory</w:t>
            </w:r>
          </w:p>
        </w:tc>
        <w:tc>
          <w:tcPr>
            <w:tcW w:w="1981" w:type="dxa"/>
            <w:tcBorders>
              <w:top w:val="single" w:sz="4" w:space="0" w:color="auto"/>
              <w:left w:val="single" w:sz="4" w:space="0" w:color="auto"/>
              <w:bottom w:val="single" w:sz="4" w:space="0" w:color="auto"/>
              <w:right w:val="single" w:sz="4" w:space="0" w:color="auto"/>
            </w:tcBorders>
            <w:hideMark/>
          </w:tcPr>
          <w:p w:rsidR="00B45F7C" w:rsidRPr="00881D79" w:rsidRDefault="00A44354" w:rsidP="0012770A">
            <w:pPr>
              <w:rPr>
                <w:rFonts w:ascii="Arial" w:hAnsi="Arial" w:cs="Arial"/>
                <w:b/>
                <w:sz w:val="24"/>
                <w:szCs w:val="24"/>
              </w:rPr>
            </w:pPr>
            <w:r w:rsidRPr="00881D79">
              <w:rPr>
                <w:rFonts w:ascii="Arial" w:hAnsi="Arial" w:cs="Arial"/>
                <w:b/>
                <w:sz w:val="24"/>
                <w:szCs w:val="24"/>
              </w:rPr>
              <w:t>17/18 Actual</w:t>
            </w:r>
          </w:p>
        </w:tc>
        <w:tc>
          <w:tcPr>
            <w:tcW w:w="1981" w:type="dxa"/>
            <w:tcBorders>
              <w:top w:val="single" w:sz="4" w:space="0" w:color="auto"/>
              <w:left w:val="single" w:sz="4" w:space="0" w:color="auto"/>
              <w:bottom w:val="single" w:sz="4" w:space="0" w:color="auto"/>
              <w:right w:val="single" w:sz="4" w:space="0" w:color="auto"/>
            </w:tcBorders>
            <w:hideMark/>
          </w:tcPr>
          <w:p w:rsidR="00B45F7C" w:rsidRPr="00881D79" w:rsidRDefault="00A44354" w:rsidP="0012770A">
            <w:pPr>
              <w:rPr>
                <w:rFonts w:ascii="Arial" w:hAnsi="Arial" w:cs="Arial"/>
                <w:b/>
                <w:sz w:val="24"/>
                <w:szCs w:val="24"/>
              </w:rPr>
            </w:pPr>
            <w:r w:rsidRPr="00881D79">
              <w:rPr>
                <w:rFonts w:ascii="Arial" w:hAnsi="Arial" w:cs="Arial"/>
                <w:b/>
                <w:sz w:val="24"/>
                <w:szCs w:val="24"/>
              </w:rPr>
              <w:t xml:space="preserve">All Years Cumulative Variance </w:t>
            </w:r>
          </w:p>
        </w:tc>
      </w:tr>
      <w:tr w:rsidR="009E2CA8" w:rsidRPr="00881D79" w:rsidTr="00B45F7C">
        <w:tc>
          <w:tcPr>
            <w:tcW w:w="3073"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sz w:val="24"/>
                <w:szCs w:val="24"/>
              </w:rPr>
            </w:pPr>
            <w:r w:rsidRPr="00881D79">
              <w:rPr>
                <w:rFonts w:ascii="Arial" w:hAnsi="Arial" w:cs="Arial"/>
                <w:sz w:val="24"/>
                <w:szCs w:val="24"/>
              </w:rPr>
              <w:t>Jobs accommodated</w:t>
            </w:r>
          </w:p>
          <w:p w:rsidR="00B45F7C" w:rsidRPr="00881D79" w:rsidRDefault="00A44354" w:rsidP="00B45F7C">
            <w:pPr>
              <w:numPr>
                <w:ilvl w:val="0"/>
                <w:numId w:val="5"/>
              </w:numPr>
              <w:jc w:val="both"/>
              <w:rPr>
                <w:rFonts w:ascii="Arial" w:hAnsi="Arial" w:cs="Arial"/>
                <w:sz w:val="24"/>
                <w:szCs w:val="24"/>
              </w:rPr>
            </w:pPr>
            <w:r w:rsidRPr="00881D79">
              <w:rPr>
                <w:rFonts w:ascii="Arial" w:hAnsi="Arial" w:cs="Arial"/>
                <w:sz w:val="24"/>
                <w:szCs w:val="24"/>
              </w:rPr>
              <w:t>Via commercial floorspace completions*</w:t>
            </w:r>
          </w:p>
        </w:tc>
        <w:tc>
          <w:tcPr>
            <w:tcW w:w="1981"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sz w:val="24"/>
                <w:szCs w:val="24"/>
                <w:highlight w:val="cyan"/>
              </w:rPr>
            </w:pPr>
            <w:r w:rsidRPr="00881D79">
              <w:rPr>
                <w:rFonts w:ascii="Arial" w:hAnsi="Arial" w:cs="Arial"/>
                <w:sz w:val="24"/>
                <w:szCs w:val="24"/>
              </w:rPr>
              <w:t>61</w:t>
            </w:r>
          </w:p>
        </w:tc>
        <w:tc>
          <w:tcPr>
            <w:tcW w:w="1981"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sz w:val="24"/>
                <w:szCs w:val="24"/>
                <w:highlight w:val="cyan"/>
              </w:rPr>
            </w:pPr>
            <w:r w:rsidRPr="00881D79">
              <w:rPr>
                <w:rFonts w:ascii="Arial" w:hAnsi="Arial" w:cs="Arial"/>
                <w:sz w:val="24"/>
                <w:szCs w:val="24"/>
              </w:rPr>
              <w:t>224</w:t>
            </w:r>
          </w:p>
        </w:tc>
        <w:tc>
          <w:tcPr>
            <w:tcW w:w="1981"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sz w:val="24"/>
                <w:szCs w:val="24"/>
                <w:highlight w:val="cyan"/>
              </w:rPr>
            </w:pPr>
            <w:r w:rsidRPr="00881D79">
              <w:rPr>
                <w:rFonts w:ascii="Arial" w:hAnsi="Arial" w:cs="Arial"/>
                <w:sz w:val="24"/>
                <w:szCs w:val="24"/>
              </w:rPr>
              <w:t>+47</w:t>
            </w:r>
          </w:p>
        </w:tc>
      </w:tr>
      <w:tr w:rsidR="009E2CA8" w:rsidRPr="00881D79" w:rsidTr="00B45F7C">
        <w:tc>
          <w:tcPr>
            <w:tcW w:w="3073"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numPr>
                <w:ilvl w:val="0"/>
                <w:numId w:val="5"/>
              </w:numPr>
              <w:jc w:val="both"/>
              <w:rPr>
                <w:rFonts w:ascii="Arial" w:hAnsi="Arial" w:cs="Arial"/>
                <w:sz w:val="24"/>
                <w:szCs w:val="24"/>
              </w:rPr>
            </w:pPr>
            <w:r w:rsidRPr="00881D79">
              <w:rPr>
                <w:rFonts w:ascii="Arial" w:hAnsi="Arial" w:cs="Arial"/>
                <w:sz w:val="24"/>
                <w:szCs w:val="24"/>
              </w:rPr>
              <w:t xml:space="preserve">Construction jobs connected to Capital Investment** </w:t>
            </w:r>
          </w:p>
        </w:tc>
        <w:tc>
          <w:tcPr>
            <w:tcW w:w="1981"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sz w:val="24"/>
                <w:szCs w:val="24"/>
              </w:rPr>
            </w:pPr>
            <w:r w:rsidRPr="00881D79">
              <w:rPr>
                <w:rFonts w:ascii="Arial" w:hAnsi="Arial" w:cs="Arial"/>
                <w:sz w:val="24"/>
                <w:szCs w:val="24"/>
              </w:rPr>
              <w:t>282</w:t>
            </w:r>
          </w:p>
        </w:tc>
        <w:tc>
          <w:tcPr>
            <w:tcW w:w="19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45F7C" w:rsidRPr="00881D79" w:rsidRDefault="00A44354" w:rsidP="00B45F7C">
            <w:pPr>
              <w:jc w:val="both"/>
              <w:rPr>
                <w:rFonts w:ascii="Arial" w:hAnsi="Arial" w:cs="Arial"/>
                <w:sz w:val="24"/>
                <w:szCs w:val="24"/>
                <w:highlight w:val="cyan"/>
              </w:rPr>
            </w:pPr>
            <w:r w:rsidRPr="00881D79">
              <w:rPr>
                <w:rFonts w:ascii="Arial" w:hAnsi="Arial" w:cs="Arial"/>
                <w:sz w:val="24"/>
                <w:szCs w:val="24"/>
              </w:rPr>
              <w:t>517</w:t>
            </w:r>
          </w:p>
        </w:tc>
        <w:tc>
          <w:tcPr>
            <w:tcW w:w="1981"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sz w:val="24"/>
                <w:szCs w:val="24"/>
                <w:highlight w:val="cyan"/>
              </w:rPr>
            </w:pPr>
            <w:r w:rsidRPr="00881D79">
              <w:rPr>
                <w:rFonts w:ascii="Arial" w:hAnsi="Arial" w:cs="Arial"/>
                <w:sz w:val="24"/>
                <w:szCs w:val="24"/>
              </w:rPr>
              <w:t>+400</w:t>
            </w:r>
          </w:p>
        </w:tc>
      </w:tr>
      <w:tr w:rsidR="009E2CA8" w:rsidRPr="00881D79" w:rsidTr="00B45F7C">
        <w:tc>
          <w:tcPr>
            <w:tcW w:w="3073"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numPr>
                <w:ilvl w:val="0"/>
                <w:numId w:val="5"/>
              </w:numPr>
              <w:jc w:val="both"/>
              <w:rPr>
                <w:rFonts w:ascii="Arial" w:hAnsi="Arial" w:cs="Arial"/>
                <w:sz w:val="24"/>
                <w:szCs w:val="24"/>
              </w:rPr>
            </w:pPr>
            <w:r w:rsidRPr="00881D79">
              <w:rPr>
                <w:rFonts w:ascii="Arial" w:hAnsi="Arial" w:cs="Arial"/>
                <w:sz w:val="24"/>
                <w:szCs w:val="24"/>
              </w:rPr>
              <w:t>Jobs associated with existing floorspace</w:t>
            </w:r>
          </w:p>
        </w:tc>
        <w:tc>
          <w:tcPr>
            <w:tcW w:w="1981"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tabs>
                <w:tab w:val="left" w:pos="315"/>
                <w:tab w:val="center" w:pos="882"/>
              </w:tabs>
              <w:jc w:val="both"/>
              <w:rPr>
                <w:rFonts w:ascii="Arial" w:hAnsi="Arial" w:cs="Arial"/>
                <w:sz w:val="24"/>
                <w:szCs w:val="24"/>
              </w:rPr>
            </w:pPr>
            <w:r w:rsidRPr="00881D79">
              <w:rPr>
                <w:rFonts w:ascii="Arial" w:hAnsi="Arial" w:cs="Arial"/>
                <w:sz w:val="24"/>
                <w:szCs w:val="24"/>
              </w:rPr>
              <w:tab/>
            </w:r>
            <w:r w:rsidRPr="00881D79">
              <w:rPr>
                <w:rFonts w:ascii="Arial" w:hAnsi="Arial" w:cs="Arial"/>
                <w:sz w:val="24"/>
                <w:szCs w:val="24"/>
              </w:rPr>
              <w:tab/>
              <w:t>N/a</w:t>
            </w:r>
          </w:p>
        </w:tc>
        <w:tc>
          <w:tcPr>
            <w:tcW w:w="1981"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sz w:val="24"/>
                <w:szCs w:val="24"/>
              </w:rPr>
            </w:pPr>
            <w:r w:rsidRPr="00881D79">
              <w:rPr>
                <w:rFonts w:ascii="Arial" w:hAnsi="Arial" w:cs="Arial"/>
                <w:sz w:val="24"/>
                <w:szCs w:val="24"/>
              </w:rPr>
              <w:t>809</w:t>
            </w:r>
          </w:p>
        </w:tc>
        <w:tc>
          <w:tcPr>
            <w:tcW w:w="1981"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sz w:val="24"/>
                <w:szCs w:val="24"/>
                <w:highlight w:val="cyan"/>
              </w:rPr>
            </w:pPr>
            <w:r>
              <w:rPr>
                <w:rFonts w:ascii="Arial" w:hAnsi="Arial" w:cs="Arial"/>
                <w:sz w:val="24"/>
                <w:szCs w:val="24"/>
              </w:rPr>
              <w:t>N/A</w:t>
            </w:r>
          </w:p>
        </w:tc>
      </w:tr>
      <w:tr w:rsidR="009E2CA8" w:rsidRPr="00881D79" w:rsidTr="00B45F7C">
        <w:tc>
          <w:tcPr>
            <w:tcW w:w="3073" w:type="dxa"/>
            <w:tcBorders>
              <w:top w:val="single" w:sz="4" w:space="0" w:color="auto"/>
              <w:left w:val="single" w:sz="4" w:space="0" w:color="auto"/>
              <w:bottom w:val="single" w:sz="4" w:space="0" w:color="auto"/>
              <w:right w:val="single" w:sz="4" w:space="0" w:color="auto"/>
            </w:tcBorders>
          </w:tcPr>
          <w:p w:rsidR="00B45F7C" w:rsidRPr="00881D79" w:rsidRDefault="00A44354" w:rsidP="00B45F7C">
            <w:pPr>
              <w:numPr>
                <w:ilvl w:val="0"/>
                <w:numId w:val="5"/>
              </w:numPr>
              <w:jc w:val="both"/>
              <w:rPr>
                <w:rFonts w:ascii="Arial" w:hAnsi="Arial" w:cs="Arial"/>
                <w:sz w:val="24"/>
                <w:szCs w:val="24"/>
              </w:rPr>
            </w:pPr>
            <w:r w:rsidRPr="00881D79">
              <w:rPr>
                <w:rFonts w:ascii="Arial" w:hAnsi="Arial" w:cs="Arial"/>
                <w:sz w:val="24"/>
                <w:szCs w:val="24"/>
              </w:rPr>
              <w:lastRenderedPageBreak/>
              <w:t xml:space="preserve">Business Support activities </w:t>
            </w:r>
          </w:p>
        </w:tc>
        <w:tc>
          <w:tcPr>
            <w:tcW w:w="1981" w:type="dxa"/>
            <w:tcBorders>
              <w:top w:val="single" w:sz="4" w:space="0" w:color="auto"/>
              <w:left w:val="single" w:sz="4" w:space="0" w:color="auto"/>
              <w:bottom w:val="single" w:sz="4" w:space="0" w:color="auto"/>
              <w:right w:val="single" w:sz="4" w:space="0" w:color="auto"/>
            </w:tcBorders>
          </w:tcPr>
          <w:p w:rsidR="00B45F7C" w:rsidRPr="00881D79" w:rsidRDefault="00A44354" w:rsidP="00B45F7C">
            <w:pPr>
              <w:tabs>
                <w:tab w:val="left" w:pos="315"/>
                <w:tab w:val="center" w:pos="882"/>
              </w:tabs>
              <w:jc w:val="both"/>
              <w:rPr>
                <w:rFonts w:ascii="Arial" w:hAnsi="Arial" w:cs="Arial"/>
                <w:sz w:val="24"/>
                <w:szCs w:val="24"/>
              </w:rPr>
            </w:pPr>
            <w:r w:rsidRPr="00881D79">
              <w:rPr>
                <w:rFonts w:ascii="Arial" w:hAnsi="Arial" w:cs="Arial"/>
                <w:sz w:val="24"/>
                <w:szCs w:val="24"/>
              </w:rPr>
              <w:t>N/a</w:t>
            </w:r>
          </w:p>
        </w:tc>
        <w:tc>
          <w:tcPr>
            <w:tcW w:w="1981" w:type="dxa"/>
            <w:tcBorders>
              <w:top w:val="single" w:sz="4" w:space="0" w:color="auto"/>
              <w:left w:val="single" w:sz="4" w:space="0" w:color="auto"/>
              <w:bottom w:val="single" w:sz="4" w:space="0" w:color="auto"/>
              <w:right w:val="single" w:sz="4" w:space="0" w:color="auto"/>
            </w:tcBorders>
          </w:tcPr>
          <w:p w:rsidR="00B45F7C" w:rsidRPr="00881D79" w:rsidRDefault="00A44354" w:rsidP="00B45F7C">
            <w:pPr>
              <w:jc w:val="both"/>
              <w:rPr>
                <w:rFonts w:ascii="Arial" w:hAnsi="Arial" w:cs="Arial"/>
                <w:sz w:val="24"/>
                <w:szCs w:val="24"/>
              </w:rPr>
            </w:pPr>
            <w:r w:rsidRPr="00881D79">
              <w:rPr>
                <w:rFonts w:ascii="Arial" w:hAnsi="Arial" w:cs="Arial"/>
                <w:sz w:val="24"/>
                <w:szCs w:val="24"/>
              </w:rPr>
              <w:t>120</w:t>
            </w:r>
          </w:p>
        </w:tc>
        <w:tc>
          <w:tcPr>
            <w:tcW w:w="1981" w:type="dxa"/>
            <w:tcBorders>
              <w:top w:val="single" w:sz="4" w:space="0" w:color="auto"/>
              <w:left w:val="single" w:sz="4" w:space="0" w:color="auto"/>
              <w:bottom w:val="single" w:sz="4" w:space="0" w:color="auto"/>
              <w:right w:val="single" w:sz="4" w:space="0" w:color="auto"/>
            </w:tcBorders>
          </w:tcPr>
          <w:p w:rsidR="00B45F7C" w:rsidRPr="00881D79" w:rsidRDefault="00A44354" w:rsidP="00B45F7C">
            <w:pPr>
              <w:jc w:val="both"/>
              <w:rPr>
                <w:rFonts w:ascii="Arial" w:hAnsi="Arial" w:cs="Arial"/>
                <w:sz w:val="24"/>
                <w:szCs w:val="24"/>
              </w:rPr>
            </w:pPr>
            <w:r>
              <w:rPr>
                <w:rFonts w:ascii="Arial" w:hAnsi="Arial" w:cs="Arial"/>
                <w:sz w:val="24"/>
                <w:szCs w:val="24"/>
              </w:rPr>
              <w:t>N/A</w:t>
            </w:r>
          </w:p>
        </w:tc>
      </w:tr>
    </w:tbl>
    <w:p w:rsidR="00B45F7C" w:rsidRPr="00881D79" w:rsidRDefault="00A44354" w:rsidP="00B45F7C">
      <w:pPr>
        <w:spacing w:after="0" w:line="240" w:lineRule="auto"/>
        <w:ind w:left="284" w:hanging="426"/>
        <w:jc w:val="both"/>
        <w:rPr>
          <w:rFonts w:ascii="Arial" w:hAnsi="Arial" w:cs="Arial"/>
          <w:sz w:val="24"/>
          <w:szCs w:val="24"/>
        </w:rPr>
      </w:pPr>
      <w:r w:rsidRPr="00881D79">
        <w:rPr>
          <w:rFonts w:ascii="Arial" w:hAnsi="Arial" w:cs="Arial"/>
          <w:sz w:val="24"/>
          <w:szCs w:val="24"/>
        </w:rPr>
        <w:t>* Gross jobs based on an average of 43 sq m per job, as per CLG guidance.</w:t>
      </w:r>
    </w:p>
    <w:p w:rsidR="00B45F7C" w:rsidRPr="00881D79" w:rsidRDefault="00A44354" w:rsidP="00B45F7C">
      <w:pPr>
        <w:spacing w:after="0" w:line="240" w:lineRule="auto"/>
        <w:ind w:left="284" w:hanging="426"/>
        <w:jc w:val="both"/>
        <w:rPr>
          <w:rFonts w:ascii="Arial" w:hAnsi="Arial" w:cs="Arial"/>
          <w:sz w:val="24"/>
          <w:szCs w:val="24"/>
        </w:rPr>
      </w:pPr>
      <w:r w:rsidRPr="00881D79">
        <w:rPr>
          <w:rFonts w:ascii="Arial" w:hAnsi="Arial" w:cs="Arial"/>
          <w:sz w:val="24"/>
          <w:szCs w:val="24"/>
        </w:rPr>
        <w:t>** Based on one job per £86,945 of capital investment</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B45F7C">
      <w:pPr>
        <w:spacing w:after="0" w:line="240" w:lineRule="auto"/>
        <w:jc w:val="both"/>
        <w:rPr>
          <w:rFonts w:ascii="Arial" w:hAnsi="Arial" w:cs="Arial"/>
          <w:sz w:val="24"/>
          <w:szCs w:val="24"/>
        </w:rPr>
      </w:pPr>
      <w:r w:rsidRPr="00881D79">
        <w:rPr>
          <w:rFonts w:ascii="Arial" w:hAnsi="Arial" w:cs="Arial"/>
          <w:sz w:val="24"/>
          <w:szCs w:val="24"/>
        </w:rPr>
        <w:t>In addition to the above, 187 businesses in Preston and South Ribble have been supported specifically through the BOOST project, and 120 asso</w:t>
      </w:r>
      <w:r w:rsidR="0012770A">
        <w:rPr>
          <w:rFonts w:ascii="Arial" w:hAnsi="Arial" w:cs="Arial"/>
          <w:sz w:val="24"/>
          <w:szCs w:val="24"/>
        </w:rPr>
        <w:t>ciated jobs created, see Table 5</w:t>
      </w:r>
      <w:r w:rsidRPr="00881D79">
        <w:rPr>
          <w:rFonts w:ascii="Arial" w:hAnsi="Arial" w:cs="Arial"/>
          <w:sz w:val="24"/>
          <w:szCs w:val="24"/>
        </w:rPr>
        <w:t xml:space="preserve"> below.   </w:t>
      </w:r>
    </w:p>
    <w:p w:rsidR="00B45F7C" w:rsidRPr="00881D79" w:rsidRDefault="003E7C2A" w:rsidP="00B45F7C">
      <w:pPr>
        <w:spacing w:after="0" w:line="240" w:lineRule="auto"/>
        <w:jc w:val="both"/>
        <w:rPr>
          <w:rFonts w:ascii="Arial" w:hAnsi="Arial" w:cs="Arial"/>
          <w:b/>
          <w:sz w:val="24"/>
          <w:szCs w:val="24"/>
        </w:rPr>
      </w:pPr>
    </w:p>
    <w:p w:rsidR="00B45F7C" w:rsidRPr="00881D79" w:rsidRDefault="0012770A" w:rsidP="00B45F7C">
      <w:pPr>
        <w:spacing w:after="0" w:line="240" w:lineRule="auto"/>
        <w:jc w:val="both"/>
        <w:rPr>
          <w:rFonts w:ascii="Arial" w:hAnsi="Arial" w:cs="Arial"/>
          <w:b/>
          <w:sz w:val="24"/>
          <w:szCs w:val="24"/>
        </w:rPr>
      </w:pPr>
      <w:r>
        <w:rPr>
          <w:rFonts w:ascii="Arial" w:hAnsi="Arial" w:cs="Arial"/>
          <w:b/>
          <w:sz w:val="24"/>
          <w:szCs w:val="24"/>
        </w:rPr>
        <w:t>Table 5</w:t>
      </w:r>
      <w:r w:rsidR="00A44354" w:rsidRPr="00881D79">
        <w:rPr>
          <w:rFonts w:ascii="Arial" w:hAnsi="Arial" w:cs="Arial"/>
          <w:b/>
          <w:sz w:val="24"/>
          <w:szCs w:val="24"/>
        </w:rPr>
        <w:t xml:space="preserve">: Business support and associated jobs </w:t>
      </w:r>
    </w:p>
    <w:tbl>
      <w:tblPr>
        <w:tblStyle w:val="TableGrid"/>
        <w:tblW w:w="8931" w:type="dxa"/>
        <w:tblInd w:w="-5" w:type="dxa"/>
        <w:tblLook w:val="04A0" w:firstRow="1" w:lastRow="0" w:firstColumn="1" w:lastColumn="0" w:noHBand="0" w:noVBand="1"/>
      </w:tblPr>
      <w:tblGrid>
        <w:gridCol w:w="7535"/>
        <w:gridCol w:w="1396"/>
      </w:tblGrid>
      <w:tr w:rsidR="009E2CA8" w:rsidRPr="00881D79" w:rsidTr="00A44354">
        <w:tc>
          <w:tcPr>
            <w:tcW w:w="7535"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b/>
                <w:sz w:val="24"/>
                <w:szCs w:val="24"/>
              </w:rPr>
            </w:pPr>
            <w:r w:rsidRPr="00881D79">
              <w:rPr>
                <w:rFonts w:ascii="Arial" w:hAnsi="Arial" w:cs="Arial"/>
                <w:b/>
                <w:sz w:val="24"/>
                <w:szCs w:val="24"/>
              </w:rPr>
              <w:t>Output</w:t>
            </w:r>
          </w:p>
        </w:tc>
        <w:tc>
          <w:tcPr>
            <w:tcW w:w="1396"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b/>
                <w:sz w:val="24"/>
                <w:szCs w:val="24"/>
              </w:rPr>
            </w:pPr>
            <w:r w:rsidRPr="00881D79">
              <w:rPr>
                <w:rFonts w:ascii="Arial" w:hAnsi="Arial" w:cs="Arial"/>
                <w:b/>
                <w:sz w:val="24"/>
                <w:szCs w:val="24"/>
              </w:rPr>
              <w:t>2017/18</w:t>
            </w:r>
          </w:p>
        </w:tc>
      </w:tr>
      <w:tr w:rsidR="009E2CA8" w:rsidRPr="00881D79" w:rsidTr="00A44354">
        <w:tc>
          <w:tcPr>
            <w:tcW w:w="7535" w:type="dxa"/>
            <w:tcBorders>
              <w:top w:val="single" w:sz="4" w:space="0" w:color="auto"/>
              <w:left w:val="single" w:sz="4" w:space="0" w:color="auto"/>
              <w:bottom w:val="single" w:sz="4" w:space="0" w:color="auto"/>
              <w:right w:val="single" w:sz="4" w:space="0" w:color="auto"/>
            </w:tcBorders>
          </w:tcPr>
          <w:p w:rsidR="00B45F7C" w:rsidRPr="00881D79" w:rsidRDefault="00A44354" w:rsidP="00B45F7C">
            <w:pPr>
              <w:jc w:val="both"/>
              <w:rPr>
                <w:rFonts w:ascii="Arial" w:hAnsi="Arial" w:cs="Arial"/>
                <w:sz w:val="24"/>
                <w:szCs w:val="24"/>
              </w:rPr>
            </w:pPr>
            <w:r w:rsidRPr="00881D79">
              <w:rPr>
                <w:rFonts w:ascii="Arial" w:hAnsi="Arial" w:cs="Arial"/>
                <w:sz w:val="24"/>
                <w:szCs w:val="24"/>
              </w:rPr>
              <w:t>New businesses supported through BOOST</w:t>
            </w:r>
          </w:p>
          <w:p w:rsidR="00B45F7C" w:rsidRPr="00881D79" w:rsidRDefault="003E7C2A" w:rsidP="00B45F7C">
            <w:pPr>
              <w:jc w:val="both"/>
              <w:rPr>
                <w:rFonts w:ascii="Arial" w:hAnsi="Arial" w:cs="Arial"/>
                <w:sz w:val="24"/>
                <w:szCs w:val="24"/>
              </w:rPr>
            </w:pPr>
          </w:p>
        </w:tc>
        <w:tc>
          <w:tcPr>
            <w:tcW w:w="1396"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sz w:val="24"/>
                <w:szCs w:val="24"/>
              </w:rPr>
            </w:pPr>
            <w:r w:rsidRPr="00881D79">
              <w:rPr>
                <w:rFonts w:ascii="Arial" w:hAnsi="Arial" w:cs="Arial"/>
                <w:sz w:val="24"/>
                <w:szCs w:val="24"/>
              </w:rPr>
              <w:t>187</w:t>
            </w:r>
          </w:p>
        </w:tc>
      </w:tr>
      <w:tr w:rsidR="009E2CA8" w:rsidRPr="00881D79" w:rsidTr="00A44354">
        <w:tc>
          <w:tcPr>
            <w:tcW w:w="7535" w:type="dxa"/>
            <w:tcBorders>
              <w:top w:val="single" w:sz="4" w:space="0" w:color="auto"/>
              <w:left w:val="single" w:sz="4" w:space="0" w:color="auto"/>
              <w:bottom w:val="single" w:sz="4" w:space="0" w:color="auto"/>
              <w:right w:val="single" w:sz="4" w:space="0" w:color="auto"/>
            </w:tcBorders>
          </w:tcPr>
          <w:p w:rsidR="00B45F7C" w:rsidRPr="00881D79" w:rsidRDefault="00A44354" w:rsidP="00B45F7C">
            <w:pPr>
              <w:jc w:val="both"/>
              <w:rPr>
                <w:rFonts w:ascii="Arial" w:hAnsi="Arial" w:cs="Arial"/>
                <w:sz w:val="24"/>
                <w:szCs w:val="24"/>
              </w:rPr>
            </w:pPr>
            <w:r w:rsidRPr="00881D79">
              <w:rPr>
                <w:rFonts w:ascii="Arial" w:hAnsi="Arial" w:cs="Arial"/>
                <w:sz w:val="24"/>
                <w:szCs w:val="24"/>
              </w:rPr>
              <w:t xml:space="preserve">Jobs created through BOOST business support </w:t>
            </w:r>
          </w:p>
          <w:p w:rsidR="00B45F7C" w:rsidRPr="00881D79" w:rsidRDefault="003E7C2A" w:rsidP="00B45F7C">
            <w:pPr>
              <w:jc w:val="both"/>
              <w:rPr>
                <w:rFonts w:ascii="Arial" w:hAnsi="Arial" w:cs="Arial"/>
                <w:sz w:val="24"/>
                <w:szCs w:val="24"/>
              </w:rPr>
            </w:pPr>
          </w:p>
        </w:tc>
        <w:tc>
          <w:tcPr>
            <w:tcW w:w="1396" w:type="dxa"/>
            <w:tcBorders>
              <w:top w:val="single" w:sz="4" w:space="0" w:color="auto"/>
              <w:left w:val="single" w:sz="4" w:space="0" w:color="auto"/>
              <w:bottom w:val="single" w:sz="4" w:space="0" w:color="auto"/>
              <w:right w:val="single" w:sz="4" w:space="0" w:color="auto"/>
            </w:tcBorders>
            <w:hideMark/>
          </w:tcPr>
          <w:p w:rsidR="00B45F7C" w:rsidRPr="00881D79" w:rsidRDefault="00A44354" w:rsidP="00B45F7C">
            <w:pPr>
              <w:jc w:val="both"/>
              <w:rPr>
                <w:rFonts w:ascii="Arial" w:hAnsi="Arial" w:cs="Arial"/>
                <w:sz w:val="24"/>
                <w:szCs w:val="24"/>
              </w:rPr>
            </w:pPr>
            <w:r w:rsidRPr="00881D79">
              <w:rPr>
                <w:rFonts w:ascii="Arial" w:hAnsi="Arial" w:cs="Arial"/>
                <w:sz w:val="24"/>
                <w:szCs w:val="24"/>
              </w:rPr>
              <w:t>120</w:t>
            </w:r>
          </w:p>
        </w:tc>
      </w:tr>
    </w:tbl>
    <w:p w:rsidR="00B45F7C" w:rsidRPr="00881D79" w:rsidRDefault="00A44354" w:rsidP="00B45F7C">
      <w:pPr>
        <w:spacing w:after="0" w:line="240" w:lineRule="auto"/>
        <w:jc w:val="both"/>
        <w:rPr>
          <w:rFonts w:ascii="Arial" w:hAnsi="Arial" w:cs="Arial"/>
          <w:sz w:val="24"/>
          <w:szCs w:val="24"/>
        </w:rPr>
      </w:pPr>
      <w:r w:rsidRPr="00881D79">
        <w:rPr>
          <w:rFonts w:ascii="Arial" w:hAnsi="Arial" w:cs="Arial"/>
          <w:sz w:val="24"/>
          <w:szCs w:val="24"/>
        </w:rPr>
        <w:t>Source: BOOST</w:t>
      </w:r>
    </w:p>
    <w:p w:rsidR="00B45F7C" w:rsidRPr="00881D79" w:rsidRDefault="003E7C2A" w:rsidP="00B45F7C">
      <w:pPr>
        <w:spacing w:after="0" w:line="240" w:lineRule="auto"/>
        <w:jc w:val="both"/>
        <w:rPr>
          <w:rFonts w:ascii="Arial" w:hAnsi="Arial" w:cs="Arial"/>
          <w:b/>
          <w:sz w:val="24"/>
          <w:szCs w:val="24"/>
        </w:rPr>
      </w:pPr>
    </w:p>
    <w:p w:rsidR="00B45F7C" w:rsidRPr="00881D79" w:rsidRDefault="00A44354" w:rsidP="0012770A">
      <w:pPr>
        <w:spacing w:after="0" w:line="240" w:lineRule="auto"/>
        <w:jc w:val="both"/>
        <w:rPr>
          <w:rFonts w:ascii="Arial" w:hAnsi="Arial" w:cs="Arial"/>
          <w:b/>
          <w:sz w:val="24"/>
          <w:szCs w:val="24"/>
        </w:rPr>
      </w:pPr>
      <w:r w:rsidRPr="00881D79">
        <w:rPr>
          <w:rFonts w:ascii="Arial" w:hAnsi="Arial" w:cs="Arial"/>
          <w:b/>
          <w:sz w:val="24"/>
          <w:szCs w:val="24"/>
        </w:rPr>
        <w:t>14.0 Skills</w:t>
      </w:r>
      <w:r w:rsidRPr="00881D79">
        <w:rPr>
          <w:rFonts w:ascii="Arial" w:hAnsi="Arial" w:cs="Arial"/>
          <w:sz w:val="24"/>
          <w:szCs w:val="24"/>
        </w:rPr>
        <w:t xml:space="preserve"> </w:t>
      </w:r>
      <w:r w:rsidRPr="00881D79">
        <w:rPr>
          <w:rFonts w:ascii="Arial" w:hAnsi="Arial" w:cs="Arial"/>
          <w:b/>
          <w:sz w:val="24"/>
          <w:szCs w:val="24"/>
        </w:rPr>
        <w:t>and Employment</w:t>
      </w:r>
    </w:p>
    <w:p w:rsidR="00B45F7C" w:rsidRPr="00881D79" w:rsidRDefault="003E7C2A" w:rsidP="00B45F7C">
      <w:pPr>
        <w:spacing w:after="0" w:line="240" w:lineRule="auto"/>
        <w:ind w:left="284" w:hanging="426"/>
        <w:jc w:val="both"/>
        <w:rPr>
          <w:rFonts w:ascii="Arial" w:hAnsi="Arial" w:cs="Arial"/>
          <w:b/>
          <w:sz w:val="24"/>
          <w:szCs w:val="24"/>
        </w:rPr>
      </w:pPr>
    </w:p>
    <w:p w:rsidR="00B45F7C" w:rsidRPr="00881D79" w:rsidRDefault="00A44354" w:rsidP="00B45F7C">
      <w:pPr>
        <w:spacing w:after="0" w:line="240" w:lineRule="auto"/>
        <w:ind w:left="567" w:hanging="567"/>
        <w:contextualSpacing/>
        <w:jc w:val="both"/>
        <w:rPr>
          <w:rFonts w:ascii="Arial" w:hAnsi="Arial" w:cs="Arial"/>
          <w:sz w:val="24"/>
          <w:szCs w:val="24"/>
        </w:rPr>
      </w:pPr>
      <w:r w:rsidRPr="00881D79">
        <w:rPr>
          <w:rFonts w:ascii="Arial" w:hAnsi="Arial" w:cs="Arial"/>
          <w:sz w:val="24"/>
          <w:szCs w:val="24"/>
        </w:rPr>
        <w:t>14.1 The outputs in relation to skills and employment were reported to this Board in November 2017 (please refer to the Table below).  The outputs for skills and employment will be updated in November 2018 following the end of the academic year which is the time frame for reporting on these metrics.</w:t>
      </w:r>
    </w:p>
    <w:p w:rsidR="00B45F7C" w:rsidRPr="00881D79" w:rsidRDefault="003E7C2A" w:rsidP="00B45F7C">
      <w:pPr>
        <w:spacing w:after="0" w:line="240" w:lineRule="auto"/>
        <w:contextualSpacing/>
        <w:jc w:val="both"/>
        <w:rPr>
          <w:rFonts w:ascii="Arial" w:hAnsi="Arial" w:cs="Arial"/>
          <w:sz w:val="24"/>
          <w:szCs w:val="24"/>
        </w:rPr>
      </w:pPr>
    </w:p>
    <w:p w:rsidR="0012770A" w:rsidRDefault="0012770A" w:rsidP="00B45F7C">
      <w:pPr>
        <w:spacing w:after="0" w:line="240" w:lineRule="auto"/>
        <w:ind w:left="567" w:hanging="567"/>
        <w:contextualSpacing/>
        <w:jc w:val="both"/>
        <w:rPr>
          <w:rFonts w:ascii="Arial" w:hAnsi="Arial" w:cs="Arial"/>
          <w:color w:val="000000" w:themeColor="text1"/>
          <w:sz w:val="24"/>
          <w:szCs w:val="24"/>
        </w:rPr>
      </w:pPr>
      <w:r>
        <w:rPr>
          <w:rFonts w:ascii="Arial" w:hAnsi="Arial" w:cs="Arial"/>
          <w:sz w:val="24"/>
          <w:szCs w:val="24"/>
        </w:rPr>
        <w:t xml:space="preserve">14.2  </w:t>
      </w:r>
      <w:r w:rsidR="00A44354" w:rsidRPr="00881D79">
        <w:rPr>
          <w:rFonts w:ascii="Arial" w:hAnsi="Arial" w:cs="Arial"/>
          <w:sz w:val="24"/>
          <w:szCs w:val="24"/>
        </w:rPr>
        <w:t>Partners have continued to deliver a wide range of activities in the City Deal area directly with schools and businesses and have also been proactive in recruiting apprentices within the construction sector. A selection of these initiatives are illustrated i</w:t>
      </w:r>
      <w:r>
        <w:rPr>
          <w:rFonts w:ascii="Arial" w:hAnsi="Arial" w:cs="Arial"/>
          <w:sz w:val="24"/>
          <w:szCs w:val="24"/>
        </w:rPr>
        <w:t>n the case</w:t>
      </w:r>
      <w:r w:rsidR="004F4921">
        <w:rPr>
          <w:rFonts w:ascii="Arial" w:hAnsi="Arial" w:cs="Arial"/>
          <w:sz w:val="24"/>
          <w:szCs w:val="24"/>
        </w:rPr>
        <w:t xml:space="preserve"> studies provided in Appendix '3</w:t>
      </w:r>
      <w:r>
        <w:rPr>
          <w:rFonts w:ascii="Arial" w:hAnsi="Arial" w:cs="Arial"/>
          <w:sz w:val="24"/>
          <w:szCs w:val="24"/>
        </w:rPr>
        <w:t>'</w:t>
      </w:r>
      <w:r w:rsidR="00A44354" w:rsidRPr="00881D79">
        <w:rPr>
          <w:rFonts w:ascii="Arial" w:hAnsi="Arial" w:cs="Arial"/>
          <w:sz w:val="24"/>
          <w:szCs w:val="24"/>
        </w:rPr>
        <w:t xml:space="preserve"> and include 'Bridge the Gap'.</w:t>
      </w:r>
      <w:r w:rsidR="00A44354" w:rsidRPr="00881D79">
        <w:rPr>
          <w:rFonts w:ascii="Arial" w:eastAsiaTheme="minorEastAsia" w:hAnsi="Arial" w:cs="Arial"/>
          <w:sz w:val="24"/>
          <w:szCs w:val="24"/>
          <w:lang w:eastAsia="en-GB"/>
        </w:rPr>
        <w:t xml:space="preserve"> </w:t>
      </w:r>
      <w:r w:rsidR="00A44354" w:rsidRPr="00881D79">
        <w:rPr>
          <w:rFonts w:ascii="Arial" w:hAnsi="Arial" w:cs="Arial"/>
          <w:color w:val="000000" w:themeColor="text1"/>
          <w:sz w:val="24"/>
          <w:szCs w:val="24"/>
        </w:rPr>
        <w:t xml:space="preserve">STEMFirst commissioned by the Lancashire Enterprise Partnership  has developed a secondary school STEM Challenge titled 'Bridge the Gap' to highlight the local opportunities in South Ribble for Science, Technology, Engineering and Maths jobs in the area of construction / civil engineering / structural design and building services and to raise awareness of City Deal. </w:t>
      </w:r>
    </w:p>
    <w:p w:rsidR="0012770A" w:rsidRDefault="0012770A" w:rsidP="00B45F7C">
      <w:pPr>
        <w:spacing w:after="0" w:line="240" w:lineRule="auto"/>
        <w:ind w:left="567" w:hanging="567"/>
        <w:contextualSpacing/>
        <w:jc w:val="both"/>
        <w:rPr>
          <w:rFonts w:ascii="Arial" w:hAnsi="Arial" w:cs="Arial"/>
          <w:color w:val="000000" w:themeColor="text1"/>
          <w:sz w:val="24"/>
          <w:szCs w:val="24"/>
        </w:rPr>
      </w:pPr>
    </w:p>
    <w:p w:rsidR="00B45F7C" w:rsidRPr="00881D79" w:rsidRDefault="00A44354" w:rsidP="0012770A">
      <w:pPr>
        <w:spacing w:after="0" w:line="240" w:lineRule="auto"/>
        <w:ind w:left="567"/>
        <w:contextualSpacing/>
        <w:jc w:val="both"/>
        <w:rPr>
          <w:rFonts w:ascii="Arial" w:eastAsiaTheme="minorEastAsia" w:hAnsi="Arial" w:cs="Arial"/>
          <w:color w:val="000000" w:themeColor="text1"/>
          <w:sz w:val="24"/>
          <w:szCs w:val="24"/>
          <w:lang w:eastAsia="en-GB"/>
        </w:rPr>
      </w:pPr>
      <w:r w:rsidRPr="00881D79">
        <w:rPr>
          <w:rFonts w:ascii="Arial" w:hAnsi="Arial" w:cs="Arial"/>
          <w:color w:val="000000" w:themeColor="text1"/>
          <w:sz w:val="24"/>
          <w:szCs w:val="24"/>
        </w:rPr>
        <w:t>STEMFirst designed a box of resources for students in K</w:t>
      </w:r>
      <w:r w:rsidR="0012770A">
        <w:rPr>
          <w:rFonts w:ascii="Arial" w:hAnsi="Arial" w:cs="Arial"/>
          <w:color w:val="000000" w:themeColor="text1"/>
          <w:sz w:val="24"/>
          <w:szCs w:val="24"/>
        </w:rPr>
        <w:t xml:space="preserve">ey </w:t>
      </w:r>
      <w:r w:rsidRPr="00881D79">
        <w:rPr>
          <w:rFonts w:ascii="Arial" w:hAnsi="Arial" w:cs="Arial"/>
          <w:color w:val="000000" w:themeColor="text1"/>
          <w:sz w:val="24"/>
          <w:szCs w:val="24"/>
        </w:rPr>
        <w:t>S</w:t>
      </w:r>
      <w:r w:rsidR="0012770A">
        <w:rPr>
          <w:rFonts w:ascii="Arial" w:hAnsi="Arial" w:cs="Arial"/>
          <w:color w:val="000000" w:themeColor="text1"/>
          <w:sz w:val="24"/>
          <w:szCs w:val="24"/>
        </w:rPr>
        <w:t xml:space="preserve">tage </w:t>
      </w:r>
      <w:r w:rsidRPr="00881D79">
        <w:rPr>
          <w:rFonts w:ascii="Arial" w:hAnsi="Arial" w:cs="Arial"/>
          <w:color w:val="000000" w:themeColor="text1"/>
          <w:sz w:val="24"/>
          <w:szCs w:val="24"/>
        </w:rPr>
        <w:t>3, which was delivered by consultants and STEM partners to Secondary schools in South Ribble to help students learn more about STEM Skills, undertake hands on challenges and explore local opportunities for future careers. STEMFirst initially delivered a pilot programme which involved 82 pupils and since then partners have delivered the programme in schools with 963 pupils involved.  Feedback has been collected for the delivered sessions with extremely positive feedback from pupils, teachers and STEM Ambassadors/Teachers with 95% of students saying they knew more about STEM careers pathways and 85% knew more about City Deal.</w:t>
      </w:r>
    </w:p>
    <w:p w:rsidR="00B45F7C" w:rsidRPr="00881D79" w:rsidRDefault="003E7C2A" w:rsidP="00B45F7C">
      <w:pPr>
        <w:spacing w:after="0" w:line="240" w:lineRule="auto"/>
        <w:contextualSpacing/>
        <w:jc w:val="both"/>
        <w:rPr>
          <w:rFonts w:ascii="Arial" w:eastAsiaTheme="minorEastAsia" w:hAnsi="Arial" w:cs="Arial"/>
          <w:sz w:val="24"/>
          <w:szCs w:val="24"/>
          <w:lang w:eastAsia="en-GB"/>
        </w:rPr>
      </w:pPr>
    </w:p>
    <w:p w:rsidR="00B45F7C" w:rsidRPr="00881D79" w:rsidRDefault="00A44354" w:rsidP="00B45F7C">
      <w:pPr>
        <w:spacing w:after="0" w:line="240" w:lineRule="auto"/>
        <w:ind w:left="567" w:hanging="567"/>
        <w:contextualSpacing/>
        <w:jc w:val="both"/>
        <w:rPr>
          <w:rFonts w:ascii="Arial" w:eastAsiaTheme="minorEastAsia" w:hAnsi="Arial" w:cs="Arial"/>
          <w:sz w:val="24"/>
          <w:szCs w:val="24"/>
          <w:lang w:eastAsia="en-GB"/>
        </w:rPr>
      </w:pPr>
      <w:r w:rsidRPr="00881D79">
        <w:rPr>
          <w:rFonts w:ascii="Arial" w:eastAsiaTheme="minorEastAsia" w:hAnsi="Arial" w:cs="Arial"/>
          <w:sz w:val="24"/>
          <w:szCs w:val="24"/>
          <w:lang w:eastAsia="en-GB"/>
        </w:rPr>
        <w:t xml:space="preserve">14.3 The Central Lancashire Construction Skills Hub continues to be a key partner in delivering activity.  Examples of recent activity include meet the buyer events and </w:t>
      </w:r>
      <w:r w:rsidRPr="00881D79">
        <w:rPr>
          <w:rFonts w:ascii="Arial" w:eastAsiaTheme="minorEastAsia" w:hAnsi="Arial" w:cs="Arial"/>
          <w:sz w:val="24"/>
          <w:szCs w:val="24"/>
          <w:lang w:eastAsia="en-GB"/>
        </w:rPr>
        <w:lastRenderedPageBreak/>
        <w:t xml:space="preserve">networking events that focus on keeping partners informed about issues pertinent to construction in the City Deal area. </w:t>
      </w:r>
    </w:p>
    <w:p w:rsidR="00B45F7C" w:rsidRPr="00881D79" w:rsidRDefault="003E7C2A" w:rsidP="00B45F7C">
      <w:pPr>
        <w:spacing w:after="0" w:line="240" w:lineRule="auto"/>
        <w:contextualSpacing/>
        <w:jc w:val="both"/>
        <w:rPr>
          <w:rFonts w:ascii="Arial" w:hAnsi="Arial" w:cs="Arial"/>
          <w:sz w:val="24"/>
          <w:szCs w:val="24"/>
        </w:rPr>
      </w:pPr>
    </w:p>
    <w:p w:rsidR="00B45F7C" w:rsidRPr="00881D79" w:rsidRDefault="00A44354" w:rsidP="00B45F7C">
      <w:pPr>
        <w:spacing w:after="0" w:line="240" w:lineRule="auto"/>
        <w:ind w:left="567" w:hanging="567"/>
        <w:contextualSpacing/>
        <w:jc w:val="both"/>
        <w:rPr>
          <w:rFonts w:ascii="Arial" w:eastAsiaTheme="minorEastAsia" w:hAnsi="Arial" w:cs="Arial"/>
          <w:sz w:val="24"/>
          <w:szCs w:val="24"/>
          <w:lang w:eastAsia="en-GB"/>
        </w:rPr>
      </w:pPr>
      <w:r w:rsidRPr="00881D79">
        <w:rPr>
          <w:rFonts w:ascii="Arial" w:hAnsi="Arial" w:cs="Arial"/>
          <w:sz w:val="24"/>
          <w:szCs w:val="24"/>
        </w:rPr>
        <w:t xml:space="preserve">14.4 The City Deal Skills and Employment Steering group meets regularly with the key aim of steering </w:t>
      </w:r>
      <w:r w:rsidRPr="00881D79">
        <w:rPr>
          <w:rFonts w:ascii="Arial" w:eastAsiaTheme="minorEastAsia" w:hAnsi="Arial" w:cs="Arial"/>
          <w:sz w:val="24"/>
          <w:szCs w:val="24"/>
          <w:lang w:eastAsia="en-GB"/>
        </w:rPr>
        <w:t>the activities which aim to maximise the impact of City Deal investment for the benefit of local residents and businesses, not only in terms of individuals equipped with the skills required to benefit from the ensuing employment opportunities, but also in terms of ensuring SMEs are equipped to benefit from associated procurement opportunities.  The steering group will aim to develop a more co-ordinated approach to skills delivery in the City Deal area. The Steering Group is currently focused on developing a marketing prospectus relating to employment and skills and ensuring a coordinated approach to partner activity in the City Deal area.</w:t>
      </w:r>
    </w:p>
    <w:p w:rsidR="00B45F7C" w:rsidRPr="00881D79" w:rsidRDefault="003E7C2A" w:rsidP="00B45F7C">
      <w:pPr>
        <w:spacing w:after="0" w:line="240" w:lineRule="auto"/>
        <w:contextualSpacing/>
        <w:jc w:val="both"/>
        <w:rPr>
          <w:rFonts w:ascii="Arial" w:eastAsiaTheme="minorEastAsia" w:hAnsi="Arial" w:cs="Arial"/>
          <w:sz w:val="24"/>
          <w:szCs w:val="24"/>
          <w:lang w:eastAsia="en-GB"/>
        </w:rPr>
      </w:pPr>
    </w:p>
    <w:p w:rsidR="00B45F7C" w:rsidRPr="00881D79" w:rsidRDefault="00A44354" w:rsidP="0012770A">
      <w:pPr>
        <w:spacing w:after="0" w:line="240" w:lineRule="auto"/>
        <w:ind w:left="567" w:hanging="567"/>
        <w:contextualSpacing/>
        <w:jc w:val="both"/>
        <w:rPr>
          <w:rFonts w:ascii="Arial" w:hAnsi="Arial" w:cs="Arial"/>
          <w:sz w:val="24"/>
          <w:szCs w:val="24"/>
        </w:rPr>
      </w:pPr>
      <w:r w:rsidRPr="00881D79">
        <w:rPr>
          <w:rFonts w:ascii="Arial" w:eastAsiaTheme="minorEastAsia" w:hAnsi="Arial" w:cs="Arial"/>
          <w:sz w:val="24"/>
          <w:szCs w:val="24"/>
          <w:lang w:eastAsia="en-GB"/>
        </w:rPr>
        <w:t>14.5 Interviews have taken place for a City Deal Skills and Employment Coordinator and an offer of employment has been made.  This role will</w:t>
      </w:r>
      <w:r w:rsidRPr="00881D79">
        <w:rPr>
          <w:rFonts w:ascii="Arial" w:hAnsi="Arial" w:cs="Arial"/>
          <w:sz w:val="24"/>
          <w:szCs w:val="24"/>
        </w:rPr>
        <w:t xml:space="preserve"> support the embedding of employment and skills across the City Deal area and will liaise with developers and occupiers, relevant groups and leads within the City Deal Skills and Employment Governance structure, the Local Planning Authority and other relevant partners.  The role will also support developers and occupiers in preparing detailed Employment &amp; Skills Plans in liaison with key partners.</w:t>
      </w:r>
    </w:p>
    <w:p w:rsidR="00B45F7C" w:rsidRPr="00881D79" w:rsidRDefault="003E7C2A" w:rsidP="00B45F7C">
      <w:pPr>
        <w:spacing w:after="0" w:line="240" w:lineRule="auto"/>
        <w:jc w:val="both"/>
        <w:rPr>
          <w:rFonts w:ascii="Arial" w:hAnsi="Arial" w:cs="Arial"/>
          <w:b/>
          <w:sz w:val="24"/>
          <w:szCs w:val="24"/>
        </w:rPr>
      </w:pPr>
    </w:p>
    <w:p w:rsidR="00B45F7C" w:rsidRPr="00881D79" w:rsidRDefault="00A44354" w:rsidP="00B45F7C">
      <w:pPr>
        <w:spacing w:after="0" w:line="240" w:lineRule="auto"/>
        <w:jc w:val="both"/>
        <w:rPr>
          <w:rFonts w:ascii="Arial" w:hAnsi="Arial" w:cs="Arial"/>
          <w:b/>
          <w:sz w:val="24"/>
          <w:szCs w:val="24"/>
        </w:rPr>
      </w:pPr>
      <w:r w:rsidRPr="00881D79">
        <w:rPr>
          <w:rFonts w:ascii="Arial" w:hAnsi="Arial" w:cs="Arial"/>
          <w:b/>
          <w:sz w:val="24"/>
          <w:szCs w:val="24"/>
        </w:rPr>
        <w:t xml:space="preserve">15.0 Public and Private Sector Investment   </w:t>
      </w:r>
    </w:p>
    <w:p w:rsidR="00B45F7C" w:rsidRPr="00881D79" w:rsidRDefault="003E7C2A" w:rsidP="00B45F7C">
      <w:pPr>
        <w:spacing w:after="0" w:line="240" w:lineRule="auto"/>
        <w:jc w:val="both"/>
        <w:rPr>
          <w:rFonts w:ascii="Arial" w:hAnsi="Arial" w:cs="Arial"/>
          <w:sz w:val="24"/>
          <w:szCs w:val="24"/>
        </w:rPr>
      </w:pPr>
    </w:p>
    <w:p w:rsidR="00B45F7C" w:rsidRPr="00881D79" w:rsidRDefault="00A44354" w:rsidP="00B45F7C">
      <w:pPr>
        <w:spacing w:after="0" w:line="240" w:lineRule="auto"/>
        <w:ind w:left="567" w:hanging="567"/>
        <w:jc w:val="both"/>
        <w:rPr>
          <w:rFonts w:ascii="Arial" w:hAnsi="Arial" w:cs="Arial"/>
          <w:sz w:val="24"/>
          <w:szCs w:val="24"/>
        </w:rPr>
      </w:pPr>
      <w:r w:rsidRPr="00881D79">
        <w:rPr>
          <w:rFonts w:ascii="Arial" w:hAnsi="Arial" w:cs="Arial"/>
          <w:sz w:val="24"/>
          <w:szCs w:val="24"/>
        </w:rPr>
        <w:t>15.1 In 2017/8 a total of £44.9m of public and private sector investment has been invested in transport infrastructure which has resulted in the achievement of the infrastructure and the co</w:t>
      </w:r>
      <w:r w:rsidR="0012770A">
        <w:rPr>
          <w:rFonts w:ascii="Arial" w:hAnsi="Arial" w:cs="Arial"/>
          <w:sz w:val="24"/>
          <w:szCs w:val="24"/>
        </w:rPr>
        <w:t>nstruction jobs referred to in T</w:t>
      </w:r>
      <w:r w:rsidRPr="00881D79">
        <w:rPr>
          <w:rFonts w:ascii="Arial" w:hAnsi="Arial" w:cs="Arial"/>
          <w:sz w:val="24"/>
          <w:szCs w:val="24"/>
        </w:rPr>
        <w:t>able 4.  In addition £55m Pension fund investment has been made to date</w:t>
      </w:r>
    </w:p>
    <w:p w:rsidR="00B45F7C" w:rsidRPr="00881D79" w:rsidRDefault="003E7C2A" w:rsidP="00B45F7C">
      <w:pPr>
        <w:spacing w:after="0" w:line="240" w:lineRule="auto"/>
        <w:jc w:val="both"/>
        <w:rPr>
          <w:rFonts w:ascii="Arial" w:hAnsi="Arial" w:cs="Arial"/>
          <w:sz w:val="24"/>
          <w:szCs w:val="24"/>
          <w:highlight w:val="lightGray"/>
        </w:rPr>
      </w:pPr>
    </w:p>
    <w:p w:rsidR="00B45F7C" w:rsidRPr="00881D79" w:rsidRDefault="0012770A" w:rsidP="00B45F7C">
      <w:pPr>
        <w:spacing w:after="0" w:line="240" w:lineRule="auto"/>
        <w:jc w:val="both"/>
        <w:rPr>
          <w:rFonts w:ascii="Arial" w:hAnsi="Arial" w:cs="Arial"/>
          <w:b/>
          <w:bCs/>
          <w:sz w:val="24"/>
          <w:szCs w:val="24"/>
        </w:rPr>
      </w:pPr>
      <w:r>
        <w:rPr>
          <w:rFonts w:ascii="Arial" w:hAnsi="Arial" w:cs="Arial"/>
          <w:b/>
          <w:bCs/>
          <w:sz w:val="24"/>
          <w:szCs w:val="24"/>
        </w:rPr>
        <w:t>Table 6</w:t>
      </w:r>
      <w:r w:rsidR="00A44354" w:rsidRPr="00881D79">
        <w:rPr>
          <w:rFonts w:ascii="Arial" w:hAnsi="Arial" w:cs="Arial"/>
          <w:b/>
          <w:bCs/>
          <w:sz w:val="24"/>
          <w:szCs w:val="24"/>
        </w:rPr>
        <w:t>:  Public and private sector investment – core outputs</w:t>
      </w:r>
    </w:p>
    <w:p w:rsidR="00B45F7C" w:rsidRPr="00881D79" w:rsidRDefault="003E7C2A" w:rsidP="00B45F7C">
      <w:pPr>
        <w:spacing w:after="0" w:line="240" w:lineRule="auto"/>
        <w:jc w:val="both"/>
        <w:rPr>
          <w:rFonts w:ascii="Arial" w:hAnsi="Arial" w:cs="Arial"/>
          <w:b/>
          <w:bCs/>
          <w:sz w:val="24"/>
          <w:szCs w:val="24"/>
        </w:rPr>
      </w:pPr>
    </w:p>
    <w:tbl>
      <w:tblPr>
        <w:tblW w:w="5000" w:type="pct"/>
        <w:tblCellMar>
          <w:left w:w="0" w:type="dxa"/>
          <w:right w:w="0" w:type="dxa"/>
        </w:tblCellMar>
        <w:tblLook w:val="04A0" w:firstRow="1" w:lastRow="0" w:firstColumn="1" w:lastColumn="0" w:noHBand="0" w:noVBand="1"/>
      </w:tblPr>
      <w:tblGrid>
        <w:gridCol w:w="2117"/>
        <w:gridCol w:w="2954"/>
        <w:gridCol w:w="1967"/>
        <w:gridCol w:w="1968"/>
      </w:tblGrid>
      <w:tr w:rsidR="009E2CA8" w:rsidRPr="00881D79" w:rsidTr="0012770A">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5F7C" w:rsidRPr="00881D79" w:rsidRDefault="00A44354" w:rsidP="0012770A">
            <w:pPr>
              <w:spacing w:after="0" w:line="240" w:lineRule="auto"/>
              <w:rPr>
                <w:rFonts w:ascii="Arial" w:hAnsi="Arial" w:cs="Arial"/>
                <w:b/>
                <w:bCs/>
                <w:sz w:val="24"/>
                <w:szCs w:val="24"/>
              </w:rPr>
            </w:pPr>
            <w:r w:rsidRPr="00881D79">
              <w:rPr>
                <w:rFonts w:ascii="Arial" w:hAnsi="Arial" w:cs="Arial"/>
                <w:b/>
                <w:bCs/>
                <w:sz w:val="24"/>
                <w:szCs w:val="24"/>
              </w:rPr>
              <w:t>Core outputs</w:t>
            </w:r>
          </w:p>
        </w:tc>
        <w:tc>
          <w:tcPr>
            <w:tcW w:w="2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F7C" w:rsidRPr="00881D79" w:rsidRDefault="00A44354" w:rsidP="0012770A">
            <w:pPr>
              <w:spacing w:after="0" w:line="240" w:lineRule="auto"/>
              <w:rPr>
                <w:rFonts w:ascii="Arial" w:hAnsi="Arial" w:cs="Arial"/>
                <w:b/>
                <w:bCs/>
                <w:sz w:val="24"/>
                <w:szCs w:val="24"/>
              </w:rPr>
            </w:pPr>
            <w:r w:rsidRPr="00881D79">
              <w:rPr>
                <w:rFonts w:ascii="Arial" w:hAnsi="Arial" w:cs="Arial"/>
                <w:b/>
                <w:bCs/>
                <w:sz w:val="24"/>
                <w:szCs w:val="24"/>
              </w:rPr>
              <w:t>17/18 Trajectory</w:t>
            </w:r>
          </w:p>
        </w:tc>
        <w:tc>
          <w:tcPr>
            <w:tcW w:w="1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F7C" w:rsidRPr="00881D79" w:rsidRDefault="00A44354" w:rsidP="0012770A">
            <w:pPr>
              <w:spacing w:after="0" w:line="240" w:lineRule="auto"/>
              <w:rPr>
                <w:rFonts w:ascii="Arial" w:hAnsi="Arial" w:cs="Arial"/>
                <w:b/>
                <w:bCs/>
                <w:sz w:val="24"/>
                <w:szCs w:val="24"/>
              </w:rPr>
            </w:pPr>
            <w:r w:rsidRPr="00881D79">
              <w:rPr>
                <w:rFonts w:ascii="Arial" w:hAnsi="Arial" w:cs="Arial"/>
                <w:b/>
                <w:bCs/>
                <w:sz w:val="24"/>
                <w:szCs w:val="24"/>
              </w:rPr>
              <w:t>17/18 Actual</w:t>
            </w:r>
          </w:p>
        </w:tc>
        <w:tc>
          <w:tcPr>
            <w:tcW w:w="1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5F7C" w:rsidRPr="00881D79" w:rsidRDefault="00A44354" w:rsidP="0012770A">
            <w:pPr>
              <w:spacing w:after="0" w:line="240" w:lineRule="auto"/>
              <w:rPr>
                <w:rFonts w:ascii="Arial" w:hAnsi="Arial" w:cs="Arial"/>
                <w:b/>
                <w:bCs/>
                <w:sz w:val="24"/>
                <w:szCs w:val="24"/>
                <w:highlight w:val="yellow"/>
              </w:rPr>
            </w:pPr>
            <w:r w:rsidRPr="00881D79">
              <w:rPr>
                <w:rFonts w:ascii="Arial" w:hAnsi="Arial" w:cs="Arial"/>
                <w:b/>
                <w:bCs/>
                <w:sz w:val="24"/>
                <w:szCs w:val="24"/>
              </w:rPr>
              <w:t>All Years Cumulative</w:t>
            </w:r>
          </w:p>
        </w:tc>
      </w:tr>
      <w:tr w:rsidR="009E2CA8" w:rsidRPr="00881D79" w:rsidTr="0012770A">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F7C" w:rsidRPr="00881D79" w:rsidRDefault="0012770A" w:rsidP="0012770A">
            <w:pPr>
              <w:spacing w:after="0" w:line="240" w:lineRule="auto"/>
              <w:rPr>
                <w:rFonts w:ascii="Arial" w:hAnsi="Arial" w:cs="Arial"/>
                <w:sz w:val="24"/>
                <w:szCs w:val="24"/>
              </w:rPr>
            </w:pPr>
            <w:r>
              <w:rPr>
                <w:rFonts w:ascii="Arial" w:hAnsi="Arial" w:cs="Arial"/>
                <w:sz w:val="24"/>
                <w:szCs w:val="24"/>
              </w:rPr>
              <w:t xml:space="preserve">Public Sector </w:t>
            </w:r>
            <w:r w:rsidR="00A44354" w:rsidRPr="00881D79">
              <w:rPr>
                <w:rFonts w:ascii="Arial" w:hAnsi="Arial" w:cs="Arial"/>
                <w:sz w:val="24"/>
                <w:szCs w:val="24"/>
              </w:rPr>
              <w:t>Investment</w:t>
            </w:r>
            <w:r>
              <w:rPr>
                <w:rFonts w:ascii="Arial" w:hAnsi="Arial" w:cs="Arial"/>
                <w:sz w:val="24"/>
                <w:szCs w:val="24"/>
              </w:rPr>
              <w:t xml:space="preserve"> (to support Infrastructure </w:t>
            </w:r>
            <w:r w:rsidR="00A44354" w:rsidRPr="00881D79">
              <w:rPr>
                <w:rFonts w:ascii="Arial" w:hAnsi="Arial" w:cs="Arial"/>
                <w:sz w:val="24"/>
                <w:szCs w:val="24"/>
              </w:rPr>
              <w:t>programme)</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B45F7C" w:rsidRPr="00881D79" w:rsidRDefault="00A44354" w:rsidP="00B45F7C">
            <w:pPr>
              <w:spacing w:after="0" w:line="240" w:lineRule="auto"/>
              <w:jc w:val="both"/>
              <w:rPr>
                <w:rFonts w:ascii="Arial" w:hAnsi="Arial" w:cs="Arial"/>
                <w:sz w:val="24"/>
                <w:szCs w:val="24"/>
              </w:rPr>
            </w:pPr>
            <w:r w:rsidRPr="00881D79">
              <w:rPr>
                <w:rFonts w:ascii="Arial" w:hAnsi="Arial" w:cs="Arial"/>
                <w:sz w:val="24"/>
                <w:szCs w:val="24"/>
              </w:rPr>
              <w:t>13.996m</w:t>
            </w:r>
          </w:p>
        </w:tc>
        <w:tc>
          <w:tcPr>
            <w:tcW w:w="1967" w:type="dxa"/>
            <w:tcBorders>
              <w:top w:val="nil"/>
              <w:left w:val="nil"/>
              <w:bottom w:val="single" w:sz="8" w:space="0" w:color="auto"/>
              <w:right w:val="single" w:sz="8" w:space="0" w:color="auto"/>
            </w:tcBorders>
            <w:tcMar>
              <w:top w:w="0" w:type="dxa"/>
              <w:left w:w="108" w:type="dxa"/>
              <w:bottom w:w="0" w:type="dxa"/>
              <w:right w:w="108" w:type="dxa"/>
            </w:tcMar>
          </w:tcPr>
          <w:p w:rsidR="00B45F7C" w:rsidRPr="00881D79" w:rsidRDefault="00A44354" w:rsidP="00B45F7C">
            <w:pPr>
              <w:spacing w:after="0" w:line="240" w:lineRule="auto"/>
              <w:jc w:val="both"/>
              <w:rPr>
                <w:rFonts w:ascii="Arial" w:hAnsi="Arial" w:cs="Arial"/>
                <w:sz w:val="24"/>
                <w:szCs w:val="24"/>
              </w:rPr>
            </w:pPr>
            <w:r w:rsidRPr="00881D79">
              <w:rPr>
                <w:rFonts w:ascii="Arial" w:hAnsi="Arial" w:cs="Arial"/>
                <w:sz w:val="24"/>
                <w:szCs w:val="24"/>
              </w:rPr>
              <w:t>31.327m</w:t>
            </w:r>
          </w:p>
        </w:tc>
        <w:tc>
          <w:tcPr>
            <w:tcW w:w="1968" w:type="dxa"/>
            <w:tcBorders>
              <w:top w:val="nil"/>
              <w:left w:val="nil"/>
              <w:bottom w:val="single" w:sz="8" w:space="0" w:color="auto"/>
              <w:right w:val="single" w:sz="8" w:space="0" w:color="auto"/>
            </w:tcBorders>
            <w:tcMar>
              <w:top w:w="0" w:type="dxa"/>
              <w:left w:w="108" w:type="dxa"/>
              <w:bottom w:w="0" w:type="dxa"/>
              <w:right w:w="108" w:type="dxa"/>
            </w:tcMar>
          </w:tcPr>
          <w:p w:rsidR="00B45F7C" w:rsidRPr="00881D79" w:rsidRDefault="00A44354" w:rsidP="00B45F7C">
            <w:pPr>
              <w:spacing w:after="0" w:line="240" w:lineRule="auto"/>
              <w:jc w:val="both"/>
              <w:rPr>
                <w:rFonts w:ascii="Arial" w:hAnsi="Arial" w:cs="Arial"/>
                <w:sz w:val="24"/>
                <w:szCs w:val="24"/>
              </w:rPr>
            </w:pPr>
            <w:r w:rsidRPr="00881D79">
              <w:rPr>
                <w:rFonts w:ascii="Arial" w:hAnsi="Arial" w:cs="Arial"/>
                <w:sz w:val="24"/>
                <w:szCs w:val="24"/>
              </w:rPr>
              <w:t>104.292m</w:t>
            </w:r>
          </w:p>
        </w:tc>
      </w:tr>
      <w:tr w:rsidR="009E2CA8" w:rsidRPr="00881D79" w:rsidTr="0012770A">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F7C" w:rsidRPr="00881D79" w:rsidRDefault="00A44354" w:rsidP="0012770A">
            <w:pPr>
              <w:spacing w:after="0" w:line="240" w:lineRule="auto"/>
              <w:rPr>
                <w:rFonts w:ascii="Arial" w:hAnsi="Arial" w:cs="Arial"/>
                <w:sz w:val="24"/>
                <w:szCs w:val="24"/>
              </w:rPr>
            </w:pPr>
            <w:r w:rsidRPr="00881D79">
              <w:rPr>
                <w:rFonts w:ascii="Arial" w:hAnsi="Arial" w:cs="Arial"/>
                <w:sz w:val="24"/>
                <w:szCs w:val="24"/>
              </w:rPr>
              <w:t>Private Sector Investment</w:t>
            </w:r>
          </w:p>
          <w:p w:rsidR="00B45F7C" w:rsidRPr="00881D79" w:rsidRDefault="00A44354" w:rsidP="0012770A">
            <w:pPr>
              <w:spacing w:after="0" w:line="240" w:lineRule="auto"/>
              <w:rPr>
                <w:rFonts w:ascii="Arial" w:hAnsi="Arial" w:cs="Arial"/>
                <w:sz w:val="24"/>
                <w:szCs w:val="24"/>
              </w:rPr>
            </w:pPr>
            <w:r w:rsidRPr="00881D79">
              <w:rPr>
                <w:rFonts w:ascii="Arial" w:hAnsi="Arial" w:cs="Arial"/>
                <w:sz w:val="24"/>
                <w:szCs w:val="24"/>
              </w:rPr>
              <w:t>(to support infrastructure programme)</w:t>
            </w:r>
          </w:p>
        </w:tc>
        <w:tc>
          <w:tcPr>
            <w:tcW w:w="2954" w:type="dxa"/>
            <w:tcBorders>
              <w:top w:val="nil"/>
              <w:left w:val="nil"/>
              <w:bottom w:val="single" w:sz="8" w:space="0" w:color="auto"/>
              <w:right w:val="single" w:sz="8" w:space="0" w:color="auto"/>
            </w:tcBorders>
            <w:tcMar>
              <w:top w:w="0" w:type="dxa"/>
              <w:left w:w="108" w:type="dxa"/>
              <w:bottom w:w="0" w:type="dxa"/>
              <w:right w:w="108" w:type="dxa"/>
            </w:tcMar>
          </w:tcPr>
          <w:p w:rsidR="00B45F7C" w:rsidRPr="00881D79" w:rsidRDefault="00A44354" w:rsidP="00B45F7C">
            <w:pPr>
              <w:spacing w:after="0" w:line="240" w:lineRule="auto"/>
              <w:jc w:val="both"/>
              <w:rPr>
                <w:rFonts w:ascii="Arial" w:hAnsi="Arial" w:cs="Arial"/>
                <w:sz w:val="24"/>
                <w:szCs w:val="24"/>
              </w:rPr>
            </w:pPr>
            <w:r w:rsidRPr="00881D79">
              <w:rPr>
                <w:rFonts w:ascii="Arial" w:hAnsi="Arial" w:cs="Arial"/>
                <w:sz w:val="24"/>
                <w:szCs w:val="24"/>
              </w:rPr>
              <w:t>£28.842</w:t>
            </w:r>
          </w:p>
        </w:tc>
        <w:tc>
          <w:tcPr>
            <w:tcW w:w="1967" w:type="dxa"/>
            <w:tcBorders>
              <w:top w:val="nil"/>
              <w:left w:val="nil"/>
              <w:bottom w:val="single" w:sz="8" w:space="0" w:color="auto"/>
              <w:right w:val="single" w:sz="8" w:space="0" w:color="auto"/>
            </w:tcBorders>
            <w:tcMar>
              <w:top w:w="0" w:type="dxa"/>
              <w:left w:w="108" w:type="dxa"/>
              <w:bottom w:w="0" w:type="dxa"/>
              <w:right w:w="108" w:type="dxa"/>
            </w:tcMar>
          </w:tcPr>
          <w:p w:rsidR="00B45F7C" w:rsidRPr="00881D79" w:rsidRDefault="00A44354" w:rsidP="00B45F7C">
            <w:pPr>
              <w:spacing w:after="0" w:line="240" w:lineRule="auto"/>
              <w:jc w:val="both"/>
              <w:rPr>
                <w:rFonts w:ascii="Arial" w:hAnsi="Arial" w:cs="Arial"/>
                <w:sz w:val="24"/>
                <w:szCs w:val="24"/>
              </w:rPr>
            </w:pPr>
            <w:r w:rsidRPr="00881D79">
              <w:rPr>
                <w:rFonts w:ascii="Arial" w:hAnsi="Arial" w:cs="Arial"/>
                <w:sz w:val="24"/>
                <w:szCs w:val="24"/>
              </w:rPr>
              <w:t>13.639m</w:t>
            </w:r>
          </w:p>
        </w:tc>
        <w:tc>
          <w:tcPr>
            <w:tcW w:w="1968" w:type="dxa"/>
            <w:tcBorders>
              <w:top w:val="nil"/>
              <w:left w:val="nil"/>
              <w:bottom w:val="single" w:sz="8" w:space="0" w:color="auto"/>
              <w:right w:val="single" w:sz="8" w:space="0" w:color="auto"/>
            </w:tcBorders>
            <w:tcMar>
              <w:top w:w="0" w:type="dxa"/>
              <w:left w:w="108" w:type="dxa"/>
              <w:bottom w:w="0" w:type="dxa"/>
              <w:right w:w="108" w:type="dxa"/>
            </w:tcMar>
          </w:tcPr>
          <w:p w:rsidR="00B45F7C" w:rsidRPr="00881D79" w:rsidRDefault="00A44354" w:rsidP="00B45F7C">
            <w:pPr>
              <w:spacing w:after="0" w:line="240" w:lineRule="auto"/>
              <w:jc w:val="both"/>
              <w:rPr>
                <w:rFonts w:ascii="Arial" w:hAnsi="Arial" w:cs="Arial"/>
                <w:sz w:val="24"/>
                <w:szCs w:val="24"/>
              </w:rPr>
            </w:pPr>
            <w:r w:rsidRPr="00881D79">
              <w:rPr>
                <w:rFonts w:ascii="Arial" w:hAnsi="Arial" w:cs="Arial"/>
                <w:sz w:val="24"/>
                <w:szCs w:val="24"/>
              </w:rPr>
              <w:t>19.374m</w:t>
            </w:r>
          </w:p>
        </w:tc>
      </w:tr>
      <w:tr w:rsidR="009E2CA8" w:rsidRPr="00881D79" w:rsidTr="0012770A">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5F7C" w:rsidRPr="00881D79" w:rsidRDefault="00A44354" w:rsidP="0012770A">
            <w:pPr>
              <w:spacing w:after="0" w:line="240" w:lineRule="auto"/>
              <w:rPr>
                <w:rFonts w:ascii="Arial" w:hAnsi="Arial" w:cs="Arial"/>
                <w:sz w:val="24"/>
                <w:szCs w:val="24"/>
              </w:rPr>
            </w:pPr>
            <w:r w:rsidRPr="00881D79">
              <w:rPr>
                <w:rFonts w:ascii="Arial" w:hAnsi="Arial" w:cs="Arial"/>
                <w:sz w:val="24"/>
                <w:szCs w:val="24"/>
              </w:rPr>
              <w:t>Pension Fund Investment</w:t>
            </w:r>
          </w:p>
        </w:tc>
        <w:tc>
          <w:tcPr>
            <w:tcW w:w="2954" w:type="dxa"/>
            <w:tcBorders>
              <w:top w:val="nil"/>
              <w:left w:val="nil"/>
              <w:bottom w:val="single" w:sz="8" w:space="0" w:color="auto"/>
              <w:right w:val="single" w:sz="8" w:space="0" w:color="auto"/>
            </w:tcBorders>
            <w:tcMar>
              <w:top w:w="0" w:type="dxa"/>
              <w:left w:w="108" w:type="dxa"/>
              <w:bottom w:w="0" w:type="dxa"/>
              <w:right w:w="108" w:type="dxa"/>
            </w:tcMar>
            <w:hideMark/>
          </w:tcPr>
          <w:p w:rsidR="00B45F7C" w:rsidRPr="00881D79" w:rsidRDefault="00A44354" w:rsidP="00B45F7C">
            <w:pPr>
              <w:spacing w:after="0" w:line="240" w:lineRule="auto"/>
              <w:jc w:val="both"/>
              <w:rPr>
                <w:rFonts w:ascii="Arial" w:hAnsi="Arial" w:cs="Arial"/>
                <w:sz w:val="24"/>
                <w:szCs w:val="24"/>
              </w:rPr>
            </w:pPr>
            <w:r w:rsidRPr="00881D79">
              <w:rPr>
                <w:rFonts w:ascii="Arial" w:hAnsi="Arial" w:cs="Arial"/>
                <w:sz w:val="24"/>
                <w:szCs w:val="24"/>
              </w:rPr>
              <w:t>-</w:t>
            </w:r>
          </w:p>
        </w:tc>
        <w:tc>
          <w:tcPr>
            <w:tcW w:w="1967" w:type="dxa"/>
            <w:tcBorders>
              <w:top w:val="nil"/>
              <w:left w:val="nil"/>
              <w:bottom w:val="single" w:sz="8" w:space="0" w:color="auto"/>
              <w:right w:val="single" w:sz="8" w:space="0" w:color="auto"/>
            </w:tcBorders>
            <w:tcMar>
              <w:top w:w="0" w:type="dxa"/>
              <w:left w:w="108" w:type="dxa"/>
              <w:bottom w:w="0" w:type="dxa"/>
              <w:right w:w="108" w:type="dxa"/>
            </w:tcMar>
            <w:hideMark/>
          </w:tcPr>
          <w:p w:rsidR="00B45F7C" w:rsidRPr="00881D79" w:rsidRDefault="00A44354" w:rsidP="00B45F7C">
            <w:pPr>
              <w:spacing w:after="0" w:line="240" w:lineRule="auto"/>
              <w:jc w:val="both"/>
              <w:rPr>
                <w:rFonts w:ascii="Arial" w:hAnsi="Arial" w:cs="Arial"/>
                <w:sz w:val="24"/>
                <w:szCs w:val="24"/>
              </w:rPr>
            </w:pPr>
            <w:r w:rsidRPr="00881D79">
              <w:rPr>
                <w:rFonts w:ascii="Arial" w:hAnsi="Arial" w:cs="Arial"/>
                <w:sz w:val="24"/>
                <w:szCs w:val="24"/>
              </w:rPr>
              <w:t>-</w:t>
            </w:r>
          </w:p>
        </w:tc>
        <w:tc>
          <w:tcPr>
            <w:tcW w:w="1968" w:type="dxa"/>
            <w:tcBorders>
              <w:top w:val="nil"/>
              <w:left w:val="nil"/>
              <w:bottom w:val="single" w:sz="8" w:space="0" w:color="auto"/>
              <w:right w:val="single" w:sz="8" w:space="0" w:color="auto"/>
            </w:tcBorders>
            <w:tcMar>
              <w:top w:w="0" w:type="dxa"/>
              <w:left w:w="108" w:type="dxa"/>
              <w:bottom w:w="0" w:type="dxa"/>
              <w:right w:w="108" w:type="dxa"/>
            </w:tcMar>
            <w:hideMark/>
          </w:tcPr>
          <w:p w:rsidR="00B45F7C" w:rsidRPr="00881D79" w:rsidRDefault="00A44354" w:rsidP="00B45F7C">
            <w:pPr>
              <w:spacing w:after="0" w:line="240" w:lineRule="auto"/>
              <w:jc w:val="both"/>
              <w:rPr>
                <w:rFonts w:ascii="Arial" w:hAnsi="Arial" w:cs="Arial"/>
                <w:sz w:val="24"/>
                <w:szCs w:val="24"/>
              </w:rPr>
            </w:pPr>
            <w:r w:rsidRPr="00881D79">
              <w:rPr>
                <w:rFonts w:ascii="Arial" w:hAnsi="Arial" w:cs="Arial"/>
                <w:sz w:val="24"/>
                <w:szCs w:val="24"/>
              </w:rPr>
              <w:t>£55m *</w:t>
            </w:r>
          </w:p>
        </w:tc>
      </w:tr>
    </w:tbl>
    <w:p w:rsidR="00B45F7C" w:rsidRPr="00881D79" w:rsidRDefault="003E7C2A" w:rsidP="00B45F7C">
      <w:pPr>
        <w:spacing w:after="0" w:line="240" w:lineRule="auto"/>
        <w:jc w:val="both"/>
        <w:rPr>
          <w:rFonts w:ascii="Arial" w:hAnsi="Arial" w:cs="Arial"/>
          <w:sz w:val="24"/>
          <w:szCs w:val="24"/>
          <w:highlight w:val="lightGray"/>
        </w:rPr>
      </w:pPr>
    </w:p>
    <w:p w:rsidR="00B45F7C" w:rsidRPr="00881D79" w:rsidRDefault="00A44354" w:rsidP="00B45F7C">
      <w:pPr>
        <w:spacing w:after="0" w:line="240" w:lineRule="auto"/>
        <w:ind w:left="567" w:hanging="567"/>
        <w:rPr>
          <w:rFonts w:ascii="Arial" w:hAnsi="Arial" w:cs="Arial"/>
          <w:sz w:val="24"/>
          <w:szCs w:val="24"/>
        </w:rPr>
      </w:pPr>
      <w:r w:rsidRPr="00881D79">
        <w:rPr>
          <w:rFonts w:ascii="Arial" w:hAnsi="Arial" w:cs="Arial"/>
          <w:sz w:val="24"/>
          <w:szCs w:val="24"/>
        </w:rPr>
        <w:lastRenderedPageBreak/>
        <w:t>15.2 The timing of receipts means that income is not split evenly into quarters or through the year.  Due to delays in the delivery of housing, public sector investment has been used to fund the infrastructure delivery programme temporarily until the private sector income is realised off the back of development being delivered.</w:t>
      </w:r>
    </w:p>
    <w:p w:rsidR="00B45F7C" w:rsidRPr="00881D79" w:rsidRDefault="003E7C2A" w:rsidP="00B45F7C">
      <w:pPr>
        <w:spacing w:after="0" w:line="240" w:lineRule="auto"/>
        <w:rPr>
          <w:rFonts w:ascii="Arial" w:hAnsi="Arial" w:cs="Arial"/>
          <w:sz w:val="24"/>
          <w:szCs w:val="24"/>
        </w:rPr>
      </w:pPr>
    </w:p>
    <w:p w:rsidR="00B45F7C" w:rsidRPr="00881D79" w:rsidRDefault="00A44354" w:rsidP="00A44354">
      <w:pPr>
        <w:spacing w:after="0" w:line="240" w:lineRule="auto"/>
        <w:jc w:val="both"/>
        <w:rPr>
          <w:rFonts w:ascii="Arial" w:hAnsi="Arial" w:cs="Arial"/>
          <w:b/>
          <w:sz w:val="24"/>
          <w:szCs w:val="24"/>
        </w:rPr>
      </w:pPr>
      <w:r w:rsidRPr="00881D79">
        <w:rPr>
          <w:rFonts w:ascii="Arial" w:hAnsi="Arial" w:cs="Arial"/>
          <w:b/>
          <w:sz w:val="24"/>
          <w:szCs w:val="24"/>
        </w:rPr>
        <w:t>16.0 Infrastructure Delivery</w:t>
      </w:r>
    </w:p>
    <w:p w:rsidR="00B45F7C" w:rsidRPr="00881D79" w:rsidRDefault="003E7C2A" w:rsidP="00B45F7C">
      <w:pPr>
        <w:spacing w:after="0" w:line="240" w:lineRule="auto"/>
        <w:ind w:hanging="426"/>
        <w:jc w:val="both"/>
        <w:rPr>
          <w:rFonts w:ascii="Arial" w:hAnsi="Arial" w:cs="Arial"/>
          <w:b/>
          <w:sz w:val="24"/>
          <w:szCs w:val="24"/>
          <w:u w:val="single"/>
        </w:rPr>
      </w:pPr>
    </w:p>
    <w:p w:rsidR="00B45F7C" w:rsidRPr="00881D79" w:rsidRDefault="00A44354" w:rsidP="00A44354">
      <w:pPr>
        <w:spacing w:after="0" w:line="240" w:lineRule="auto"/>
        <w:jc w:val="both"/>
        <w:rPr>
          <w:rFonts w:ascii="Arial" w:hAnsi="Arial" w:cs="Arial"/>
          <w:b/>
          <w:sz w:val="24"/>
          <w:szCs w:val="24"/>
        </w:rPr>
      </w:pPr>
      <w:r w:rsidRPr="00881D79">
        <w:rPr>
          <w:rFonts w:ascii="Arial" w:hAnsi="Arial" w:cs="Arial"/>
          <w:b/>
          <w:sz w:val="24"/>
          <w:szCs w:val="24"/>
        </w:rPr>
        <w:t>16.1 Key achievements in 2017/18 include:</w:t>
      </w:r>
    </w:p>
    <w:p w:rsidR="00B45F7C" w:rsidRPr="00881D79" w:rsidRDefault="003E7C2A" w:rsidP="00B45F7C">
      <w:pPr>
        <w:spacing w:after="0" w:line="240" w:lineRule="auto"/>
        <w:ind w:hanging="426"/>
        <w:jc w:val="both"/>
        <w:rPr>
          <w:rFonts w:ascii="Arial" w:hAnsi="Arial" w:cs="Arial"/>
          <w:b/>
          <w:sz w:val="24"/>
          <w:szCs w:val="24"/>
          <w:u w:val="single"/>
        </w:rPr>
      </w:pPr>
    </w:p>
    <w:p w:rsidR="00B45F7C" w:rsidRPr="00881D79" w:rsidRDefault="00A44354" w:rsidP="00B45F7C">
      <w:pPr>
        <w:numPr>
          <w:ilvl w:val="0"/>
          <w:numId w:val="11"/>
        </w:numPr>
        <w:spacing w:after="0" w:line="240" w:lineRule="auto"/>
        <w:contextualSpacing/>
        <w:jc w:val="both"/>
        <w:rPr>
          <w:rFonts w:ascii="Arial" w:hAnsi="Arial" w:cs="Arial"/>
          <w:sz w:val="24"/>
          <w:szCs w:val="24"/>
        </w:rPr>
      </w:pPr>
      <w:r w:rsidRPr="00881D79">
        <w:rPr>
          <w:rFonts w:ascii="Arial" w:hAnsi="Arial" w:cs="Arial"/>
          <w:b/>
          <w:sz w:val="24"/>
          <w:szCs w:val="24"/>
        </w:rPr>
        <w:t>Broughton Bypass</w:t>
      </w:r>
      <w:r w:rsidRPr="00881D79">
        <w:rPr>
          <w:rFonts w:ascii="Arial" w:hAnsi="Arial" w:cs="Arial"/>
          <w:sz w:val="24"/>
          <w:szCs w:val="24"/>
        </w:rPr>
        <w:t xml:space="preserve"> – completed and opened in October 2017</w:t>
      </w:r>
    </w:p>
    <w:p w:rsidR="00B45F7C" w:rsidRPr="00881D79" w:rsidRDefault="00A44354" w:rsidP="00B45F7C">
      <w:pPr>
        <w:numPr>
          <w:ilvl w:val="0"/>
          <w:numId w:val="11"/>
        </w:numPr>
        <w:spacing w:after="0" w:line="240" w:lineRule="auto"/>
        <w:contextualSpacing/>
        <w:jc w:val="both"/>
        <w:rPr>
          <w:rFonts w:ascii="Arial" w:hAnsi="Arial" w:cs="Arial"/>
          <w:sz w:val="24"/>
          <w:szCs w:val="24"/>
        </w:rPr>
      </w:pPr>
      <w:r w:rsidRPr="00881D79">
        <w:rPr>
          <w:rFonts w:ascii="Arial" w:hAnsi="Arial" w:cs="Arial"/>
          <w:b/>
          <w:sz w:val="24"/>
          <w:szCs w:val="24"/>
        </w:rPr>
        <w:t>Pope Lane Roundabout</w:t>
      </w:r>
      <w:r w:rsidRPr="00881D79">
        <w:rPr>
          <w:rFonts w:ascii="Arial" w:hAnsi="Arial" w:cs="Arial"/>
          <w:sz w:val="24"/>
          <w:szCs w:val="24"/>
        </w:rPr>
        <w:t xml:space="preserve"> – this scheme completed in 2017 with a new junction established.</w:t>
      </w:r>
    </w:p>
    <w:p w:rsidR="00B45F7C" w:rsidRPr="00881D79" w:rsidRDefault="00A44354" w:rsidP="00B45F7C">
      <w:pPr>
        <w:numPr>
          <w:ilvl w:val="0"/>
          <w:numId w:val="11"/>
        </w:numPr>
        <w:spacing w:after="0" w:line="240" w:lineRule="auto"/>
        <w:contextualSpacing/>
        <w:jc w:val="both"/>
        <w:rPr>
          <w:rFonts w:ascii="Arial" w:hAnsi="Arial" w:cs="Arial"/>
          <w:sz w:val="24"/>
          <w:szCs w:val="24"/>
        </w:rPr>
      </w:pPr>
      <w:r w:rsidRPr="00881D79">
        <w:rPr>
          <w:rFonts w:ascii="Arial" w:hAnsi="Arial" w:cs="Arial"/>
          <w:b/>
          <w:sz w:val="24"/>
          <w:szCs w:val="24"/>
        </w:rPr>
        <w:t>Preston Bus Station and car park improvements</w:t>
      </w:r>
      <w:r w:rsidRPr="00881D79">
        <w:rPr>
          <w:rFonts w:ascii="Arial" w:hAnsi="Arial" w:cs="Arial"/>
          <w:sz w:val="24"/>
          <w:szCs w:val="24"/>
        </w:rPr>
        <w:t xml:space="preserve"> – completion in summer 2018</w:t>
      </w:r>
    </w:p>
    <w:p w:rsidR="00B45F7C" w:rsidRPr="00881D79" w:rsidRDefault="00A44354" w:rsidP="00B45F7C">
      <w:pPr>
        <w:numPr>
          <w:ilvl w:val="0"/>
          <w:numId w:val="11"/>
        </w:numPr>
        <w:spacing w:after="0" w:line="240" w:lineRule="auto"/>
        <w:contextualSpacing/>
        <w:jc w:val="both"/>
        <w:rPr>
          <w:rFonts w:ascii="Arial" w:hAnsi="Arial" w:cs="Arial"/>
          <w:sz w:val="24"/>
          <w:szCs w:val="24"/>
        </w:rPr>
      </w:pPr>
      <w:r w:rsidRPr="00881D79">
        <w:rPr>
          <w:rFonts w:ascii="Arial" w:hAnsi="Arial" w:cs="Arial"/>
          <w:b/>
          <w:sz w:val="24"/>
          <w:szCs w:val="24"/>
        </w:rPr>
        <w:t>Preston Western Distributor (PWD)</w:t>
      </w:r>
      <w:r w:rsidRPr="00881D79">
        <w:rPr>
          <w:rFonts w:ascii="Arial" w:hAnsi="Arial" w:cs="Arial"/>
          <w:sz w:val="24"/>
          <w:szCs w:val="24"/>
        </w:rPr>
        <w:t xml:space="preserve"> Outline business case submitted and approved, CPO confirmed.</w:t>
      </w:r>
    </w:p>
    <w:p w:rsidR="00B45F7C" w:rsidRPr="00881D79" w:rsidRDefault="00A44354" w:rsidP="00B45F7C">
      <w:pPr>
        <w:numPr>
          <w:ilvl w:val="0"/>
          <w:numId w:val="11"/>
        </w:numPr>
        <w:spacing w:after="0" w:line="240" w:lineRule="auto"/>
        <w:contextualSpacing/>
        <w:jc w:val="both"/>
        <w:rPr>
          <w:rFonts w:ascii="Arial" w:hAnsi="Arial" w:cs="Arial"/>
          <w:sz w:val="24"/>
          <w:szCs w:val="24"/>
        </w:rPr>
      </w:pPr>
      <w:r w:rsidRPr="00881D79">
        <w:rPr>
          <w:rFonts w:ascii="Arial" w:hAnsi="Arial" w:cs="Arial"/>
          <w:b/>
          <w:sz w:val="24"/>
          <w:szCs w:val="24"/>
        </w:rPr>
        <w:t>Penwortham Bypass</w:t>
      </w:r>
      <w:r w:rsidRPr="00881D79">
        <w:rPr>
          <w:rFonts w:ascii="Arial" w:hAnsi="Arial" w:cs="Arial"/>
          <w:sz w:val="24"/>
          <w:szCs w:val="24"/>
        </w:rPr>
        <w:t xml:space="preserve"> – work started on this scheme in 2017 and is progressing as planned.</w:t>
      </w:r>
    </w:p>
    <w:p w:rsidR="00B45F7C" w:rsidRPr="00881D79" w:rsidRDefault="00A44354" w:rsidP="00B45F7C">
      <w:pPr>
        <w:numPr>
          <w:ilvl w:val="0"/>
          <w:numId w:val="11"/>
        </w:numPr>
        <w:spacing w:after="0" w:line="240" w:lineRule="auto"/>
        <w:contextualSpacing/>
        <w:jc w:val="both"/>
        <w:rPr>
          <w:rFonts w:ascii="Arial" w:hAnsi="Arial" w:cs="Arial"/>
          <w:sz w:val="24"/>
          <w:szCs w:val="24"/>
        </w:rPr>
      </w:pPr>
      <w:r w:rsidRPr="00881D79">
        <w:rPr>
          <w:rFonts w:ascii="Arial" w:hAnsi="Arial" w:cs="Arial"/>
          <w:b/>
          <w:sz w:val="24"/>
          <w:szCs w:val="24"/>
        </w:rPr>
        <w:t>Bamber Bridge Improvements</w:t>
      </w:r>
      <w:r w:rsidRPr="00881D79">
        <w:rPr>
          <w:rFonts w:ascii="Arial" w:hAnsi="Arial" w:cs="Arial"/>
          <w:sz w:val="24"/>
          <w:szCs w:val="24"/>
        </w:rPr>
        <w:t xml:space="preserve"> – construction is well underway on this scheme.</w:t>
      </w:r>
    </w:p>
    <w:p w:rsidR="00B45F7C" w:rsidRPr="00881D79" w:rsidRDefault="00A44354" w:rsidP="00B45F7C">
      <w:pPr>
        <w:numPr>
          <w:ilvl w:val="0"/>
          <w:numId w:val="11"/>
        </w:numPr>
        <w:spacing w:after="0" w:line="240" w:lineRule="auto"/>
        <w:contextualSpacing/>
        <w:jc w:val="both"/>
        <w:rPr>
          <w:rFonts w:ascii="Arial" w:hAnsi="Arial" w:cs="Arial"/>
          <w:sz w:val="24"/>
          <w:szCs w:val="24"/>
        </w:rPr>
      </w:pPr>
      <w:r w:rsidRPr="00881D79">
        <w:rPr>
          <w:rFonts w:ascii="Arial" w:hAnsi="Arial" w:cs="Arial"/>
          <w:b/>
          <w:sz w:val="24"/>
          <w:szCs w:val="24"/>
        </w:rPr>
        <w:t>City Transport Plan/Walking and cycling strategy and corridors masterplanning exercise</w:t>
      </w:r>
      <w:r w:rsidRPr="00881D79">
        <w:rPr>
          <w:rFonts w:ascii="Arial" w:hAnsi="Arial" w:cs="Arial"/>
          <w:sz w:val="24"/>
          <w:szCs w:val="24"/>
        </w:rPr>
        <w:t xml:space="preserve"> – a commission has been agreed to align these strategies into a prioritised delivery plan.</w:t>
      </w:r>
    </w:p>
    <w:p w:rsidR="00B45F7C" w:rsidRPr="00881D79" w:rsidRDefault="00A44354" w:rsidP="00B45F7C">
      <w:pPr>
        <w:numPr>
          <w:ilvl w:val="0"/>
          <w:numId w:val="11"/>
        </w:numPr>
        <w:spacing w:after="0" w:line="240" w:lineRule="auto"/>
        <w:contextualSpacing/>
        <w:jc w:val="both"/>
        <w:rPr>
          <w:rFonts w:ascii="Arial" w:hAnsi="Arial" w:cs="Arial"/>
          <w:sz w:val="24"/>
          <w:szCs w:val="24"/>
        </w:rPr>
      </w:pPr>
      <w:r w:rsidRPr="00881D79">
        <w:rPr>
          <w:rFonts w:ascii="Arial" w:hAnsi="Arial" w:cs="Arial"/>
          <w:b/>
          <w:sz w:val="24"/>
          <w:szCs w:val="24"/>
        </w:rPr>
        <w:t>South Ribble Campus Strategy</w:t>
      </w:r>
      <w:r w:rsidRPr="00881D79">
        <w:rPr>
          <w:rFonts w:ascii="Arial" w:hAnsi="Arial" w:cs="Arial"/>
          <w:sz w:val="24"/>
          <w:szCs w:val="24"/>
        </w:rPr>
        <w:t xml:space="preserve"> –</w:t>
      </w:r>
      <w:r>
        <w:rPr>
          <w:rFonts w:ascii="Arial" w:hAnsi="Arial" w:cs="Arial"/>
          <w:sz w:val="24"/>
          <w:szCs w:val="24"/>
        </w:rPr>
        <w:t xml:space="preserve"> work on this completed in 2017.</w:t>
      </w:r>
    </w:p>
    <w:p w:rsidR="00B45F7C" w:rsidRPr="00881D79" w:rsidRDefault="003E7C2A" w:rsidP="0012770A">
      <w:pPr>
        <w:spacing w:after="0" w:line="240" w:lineRule="auto"/>
        <w:jc w:val="both"/>
        <w:rPr>
          <w:rFonts w:ascii="Arial" w:hAnsi="Arial" w:cs="Arial"/>
          <w:b/>
          <w:sz w:val="24"/>
          <w:szCs w:val="24"/>
          <w:u w:val="single"/>
        </w:rPr>
      </w:pPr>
    </w:p>
    <w:p w:rsidR="00B45F7C" w:rsidRPr="00881D79" w:rsidRDefault="00A44354" w:rsidP="00A44354">
      <w:pPr>
        <w:spacing w:after="0" w:line="240" w:lineRule="auto"/>
        <w:jc w:val="both"/>
        <w:rPr>
          <w:rFonts w:ascii="Arial" w:hAnsi="Arial" w:cs="Arial"/>
          <w:b/>
          <w:sz w:val="24"/>
          <w:szCs w:val="24"/>
        </w:rPr>
      </w:pPr>
      <w:r w:rsidRPr="00881D79">
        <w:rPr>
          <w:rFonts w:ascii="Arial" w:hAnsi="Arial" w:cs="Arial"/>
          <w:b/>
          <w:sz w:val="24"/>
          <w:szCs w:val="24"/>
        </w:rPr>
        <w:t>17.0 Risk</w:t>
      </w:r>
      <w:r w:rsidR="0012770A">
        <w:rPr>
          <w:rFonts w:ascii="Arial" w:hAnsi="Arial" w:cs="Arial"/>
          <w:b/>
          <w:sz w:val="24"/>
          <w:szCs w:val="24"/>
        </w:rPr>
        <w:t xml:space="preserve"> </w:t>
      </w:r>
      <w:r w:rsidR="004F4921">
        <w:rPr>
          <w:rFonts w:ascii="Arial" w:hAnsi="Arial" w:cs="Arial"/>
          <w:b/>
          <w:sz w:val="24"/>
          <w:szCs w:val="24"/>
        </w:rPr>
        <w:t>Analysis/Management (Appendix '4</w:t>
      </w:r>
      <w:r w:rsidR="0012770A">
        <w:rPr>
          <w:rFonts w:ascii="Arial" w:hAnsi="Arial" w:cs="Arial"/>
          <w:b/>
          <w:sz w:val="24"/>
          <w:szCs w:val="24"/>
        </w:rPr>
        <w:t>'</w:t>
      </w:r>
      <w:bookmarkStart w:id="0" w:name="_GoBack"/>
      <w:bookmarkEnd w:id="0"/>
      <w:r w:rsidRPr="00881D79">
        <w:rPr>
          <w:rFonts w:ascii="Arial" w:hAnsi="Arial" w:cs="Arial"/>
          <w:b/>
          <w:sz w:val="24"/>
          <w:szCs w:val="24"/>
        </w:rPr>
        <w:t xml:space="preserve">) </w:t>
      </w:r>
    </w:p>
    <w:p w:rsidR="00B45F7C" w:rsidRPr="00881D79" w:rsidRDefault="003E7C2A" w:rsidP="00B45F7C">
      <w:pPr>
        <w:autoSpaceDE w:val="0"/>
        <w:autoSpaceDN w:val="0"/>
        <w:adjustRightInd w:val="0"/>
        <w:spacing w:after="0" w:line="240" w:lineRule="auto"/>
        <w:rPr>
          <w:rFonts w:ascii="Arial" w:hAnsi="Arial" w:cs="Arial"/>
          <w:b/>
          <w:sz w:val="24"/>
          <w:szCs w:val="24"/>
          <w:u w:val="single"/>
        </w:rPr>
      </w:pPr>
    </w:p>
    <w:p w:rsidR="00B45F7C" w:rsidRPr="00881D79" w:rsidRDefault="00A44354" w:rsidP="00A44354">
      <w:pPr>
        <w:autoSpaceDE w:val="0"/>
        <w:autoSpaceDN w:val="0"/>
        <w:adjustRightInd w:val="0"/>
        <w:spacing w:after="0" w:line="240" w:lineRule="auto"/>
        <w:rPr>
          <w:rFonts w:ascii="Arial" w:hAnsi="Arial" w:cs="Arial"/>
          <w:sz w:val="24"/>
          <w:szCs w:val="24"/>
        </w:rPr>
      </w:pPr>
      <w:r w:rsidRPr="00881D79">
        <w:rPr>
          <w:rFonts w:ascii="Arial" w:hAnsi="Arial" w:cs="Arial"/>
          <w:sz w:val="24"/>
          <w:szCs w:val="24"/>
        </w:rPr>
        <w:t>Attached to this report is the current programme level risk analysis which is supported and informed by lower level operational risk logs managed by project managers.  The programme level risk analysis is updated 6 monthly in keeping with Government reporting requirements.</w:t>
      </w:r>
    </w:p>
    <w:p w:rsidR="00B45F7C" w:rsidRPr="00881D79" w:rsidRDefault="003E7C2A" w:rsidP="00B45F7C">
      <w:pPr>
        <w:pStyle w:val="NoSpacing"/>
        <w:jc w:val="both"/>
        <w:rPr>
          <w:rFonts w:cs="Arial"/>
          <w:szCs w:val="24"/>
        </w:rPr>
      </w:pPr>
    </w:p>
    <w:p w:rsidR="0012770A" w:rsidRDefault="00A44354" w:rsidP="00A44354">
      <w:pPr>
        <w:keepNext/>
        <w:keepLines/>
        <w:spacing w:before="40" w:after="0" w:line="249" w:lineRule="auto"/>
        <w:ind w:left="542" w:hanging="542"/>
        <w:outlineLvl w:val="4"/>
        <w:rPr>
          <w:rFonts w:ascii="Arial" w:eastAsia="Times New Roman" w:hAnsi="Arial" w:cs="Arial"/>
          <w:b/>
          <w:sz w:val="24"/>
          <w:szCs w:val="24"/>
          <w:lang w:eastAsia="en-GB"/>
        </w:rPr>
      </w:pPr>
      <w:r w:rsidRPr="00881D79">
        <w:rPr>
          <w:rFonts w:ascii="Arial" w:eastAsia="Times New Roman" w:hAnsi="Arial" w:cs="Arial"/>
          <w:b/>
          <w:sz w:val="24"/>
          <w:szCs w:val="24"/>
          <w:lang w:eastAsia="en-GB"/>
        </w:rPr>
        <w:t>List of Background Papers</w:t>
      </w:r>
    </w:p>
    <w:p w:rsidR="00A44354" w:rsidRPr="0012770A" w:rsidRDefault="00A44354" w:rsidP="00A44354">
      <w:pPr>
        <w:keepNext/>
        <w:keepLines/>
        <w:spacing w:before="40" w:after="0" w:line="249" w:lineRule="auto"/>
        <w:ind w:left="542" w:hanging="542"/>
        <w:outlineLvl w:val="4"/>
        <w:rPr>
          <w:rFonts w:ascii="Arial" w:eastAsia="Times New Roman" w:hAnsi="Arial" w:cs="Arial"/>
          <w:b/>
          <w:sz w:val="24"/>
          <w:szCs w:val="24"/>
          <w:lang w:eastAsia="en-GB"/>
        </w:rPr>
      </w:pPr>
    </w:p>
    <w:tbl>
      <w:tblPr>
        <w:tblW w:w="0" w:type="auto"/>
        <w:tblLayout w:type="fixed"/>
        <w:tblLook w:val="0000" w:firstRow="0" w:lastRow="0" w:firstColumn="0" w:lastColumn="0" w:noHBand="0" w:noVBand="0"/>
      </w:tblPr>
      <w:tblGrid>
        <w:gridCol w:w="3510"/>
        <w:gridCol w:w="2492"/>
        <w:gridCol w:w="3178"/>
      </w:tblGrid>
      <w:tr w:rsidR="009E2CA8" w:rsidRPr="00881D79" w:rsidTr="00B45F7C">
        <w:tc>
          <w:tcPr>
            <w:tcW w:w="3510" w:type="dxa"/>
          </w:tcPr>
          <w:p w:rsidR="00B45F7C" w:rsidRPr="00881D79" w:rsidRDefault="00A44354" w:rsidP="00B45F7C">
            <w:pPr>
              <w:keepNext/>
              <w:keepLines/>
              <w:spacing w:before="40" w:after="0" w:line="249" w:lineRule="auto"/>
              <w:ind w:left="542" w:hanging="542"/>
              <w:outlineLvl w:val="6"/>
              <w:rPr>
                <w:rFonts w:ascii="Arial" w:eastAsia="Times New Roman" w:hAnsi="Arial" w:cs="Arial"/>
                <w:iCs/>
                <w:sz w:val="24"/>
                <w:szCs w:val="24"/>
                <w:lang w:eastAsia="en-GB"/>
              </w:rPr>
            </w:pPr>
            <w:r w:rsidRPr="00881D79">
              <w:rPr>
                <w:rFonts w:ascii="Arial" w:eastAsia="Times New Roman" w:hAnsi="Arial" w:cs="Arial"/>
                <w:iCs/>
                <w:sz w:val="24"/>
                <w:szCs w:val="24"/>
                <w:lang w:eastAsia="en-GB"/>
              </w:rPr>
              <w:t>Paper</w:t>
            </w:r>
          </w:p>
        </w:tc>
        <w:tc>
          <w:tcPr>
            <w:tcW w:w="2492" w:type="dxa"/>
          </w:tcPr>
          <w:p w:rsidR="00B45F7C" w:rsidRPr="00881D79" w:rsidRDefault="00A44354" w:rsidP="00B45F7C">
            <w:pPr>
              <w:keepNext/>
              <w:keepLines/>
              <w:spacing w:before="40" w:after="0" w:line="249" w:lineRule="auto"/>
              <w:ind w:left="542" w:hanging="542"/>
              <w:outlineLvl w:val="6"/>
              <w:rPr>
                <w:rFonts w:ascii="Arial" w:eastAsia="Times New Roman" w:hAnsi="Arial" w:cs="Arial"/>
                <w:iCs/>
                <w:sz w:val="24"/>
                <w:szCs w:val="24"/>
                <w:lang w:eastAsia="en-GB"/>
              </w:rPr>
            </w:pPr>
            <w:r w:rsidRPr="00881D79">
              <w:rPr>
                <w:rFonts w:ascii="Arial" w:eastAsia="Times New Roman" w:hAnsi="Arial" w:cs="Arial"/>
                <w:iCs/>
                <w:sz w:val="24"/>
                <w:szCs w:val="24"/>
                <w:lang w:eastAsia="en-GB"/>
              </w:rPr>
              <w:t>Date</w:t>
            </w:r>
          </w:p>
        </w:tc>
        <w:tc>
          <w:tcPr>
            <w:tcW w:w="3178" w:type="dxa"/>
          </w:tcPr>
          <w:p w:rsidR="00B45F7C" w:rsidRPr="00881D79" w:rsidRDefault="00A44354" w:rsidP="00B45F7C">
            <w:pPr>
              <w:keepNext/>
              <w:keepLines/>
              <w:spacing w:before="40" w:after="0" w:line="249" w:lineRule="auto"/>
              <w:ind w:left="542" w:hanging="542"/>
              <w:outlineLvl w:val="6"/>
              <w:rPr>
                <w:rFonts w:ascii="Arial" w:eastAsia="Times New Roman" w:hAnsi="Arial" w:cs="Arial"/>
                <w:iCs/>
                <w:sz w:val="24"/>
                <w:szCs w:val="24"/>
                <w:lang w:eastAsia="en-GB"/>
              </w:rPr>
            </w:pPr>
            <w:r w:rsidRPr="00881D79">
              <w:rPr>
                <w:rFonts w:ascii="Arial" w:eastAsia="Times New Roman" w:hAnsi="Arial" w:cs="Arial"/>
                <w:iCs/>
                <w:sz w:val="24"/>
                <w:szCs w:val="24"/>
                <w:lang w:eastAsia="en-GB"/>
              </w:rPr>
              <w:t>Contact/Tel</w:t>
            </w:r>
          </w:p>
        </w:tc>
      </w:tr>
      <w:tr w:rsidR="009E2CA8" w:rsidRPr="00881D79" w:rsidTr="00B45F7C">
        <w:tc>
          <w:tcPr>
            <w:tcW w:w="3510" w:type="dxa"/>
          </w:tcPr>
          <w:p w:rsidR="00B45F7C" w:rsidRPr="00881D79" w:rsidRDefault="003E7C2A" w:rsidP="00B45F7C">
            <w:pPr>
              <w:spacing w:after="5" w:line="249" w:lineRule="auto"/>
              <w:ind w:left="542" w:hanging="542"/>
              <w:rPr>
                <w:rFonts w:ascii="Arial" w:eastAsia="Calibri" w:hAnsi="Arial" w:cs="Arial"/>
                <w:sz w:val="24"/>
                <w:szCs w:val="24"/>
                <w:lang w:eastAsia="en-GB"/>
              </w:rPr>
            </w:pPr>
          </w:p>
          <w:p w:rsidR="00B45F7C" w:rsidRPr="00881D79" w:rsidRDefault="0012770A" w:rsidP="00B45F7C">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None</w:t>
            </w:r>
          </w:p>
          <w:p w:rsidR="00B45F7C" w:rsidRPr="00881D79" w:rsidRDefault="003E7C2A" w:rsidP="00B45F7C">
            <w:pPr>
              <w:spacing w:after="5" w:line="249" w:lineRule="auto"/>
              <w:ind w:left="542" w:hanging="542"/>
              <w:rPr>
                <w:rFonts w:ascii="Arial" w:eastAsia="Calibri" w:hAnsi="Arial" w:cs="Arial"/>
                <w:sz w:val="24"/>
                <w:szCs w:val="24"/>
                <w:lang w:eastAsia="en-GB"/>
              </w:rPr>
            </w:pPr>
          </w:p>
        </w:tc>
        <w:tc>
          <w:tcPr>
            <w:tcW w:w="2492" w:type="dxa"/>
          </w:tcPr>
          <w:p w:rsidR="00B45F7C" w:rsidRPr="00881D79" w:rsidRDefault="003E7C2A" w:rsidP="00B45F7C">
            <w:pPr>
              <w:spacing w:after="5" w:line="249" w:lineRule="auto"/>
              <w:ind w:left="542" w:hanging="542"/>
              <w:rPr>
                <w:rFonts w:ascii="Arial" w:eastAsia="Calibri" w:hAnsi="Arial" w:cs="Arial"/>
                <w:sz w:val="24"/>
                <w:szCs w:val="24"/>
                <w:lang w:eastAsia="en-GB"/>
              </w:rPr>
            </w:pPr>
          </w:p>
        </w:tc>
        <w:tc>
          <w:tcPr>
            <w:tcW w:w="3178" w:type="dxa"/>
          </w:tcPr>
          <w:p w:rsidR="00B45F7C" w:rsidRPr="00881D79" w:rsidRDefault="003E7C2A" w:rsidP="00B45F7C">
            <w:pPr>
              <w:spacing w:after="5" w:line="249" w:lineRule="auto"/>
              <w:ind w:left="542" w:hanging="542"/>
              <w:rPr>
                <w:rFonts w:ascii="Arial" w:eastAsia="Calibri" w:hAnsi="Arial" w:cs="Arial"/>
                <w:sz w:val="24"/>
                <w:szCs w:val="24"/>
                <w:lang w:eastAsia="en-GB"/>
              </w:rPr>
            </w:pPr>
          </w:p>
        </w:tc>
      </w:tr>
      <w:tr w:rsidR="009E2CA8" w:rsidRPr="00881D79" w:rsidTr="00B45F7C">
        <w:trPr>
          <w:cantSplit/>
        </w:trPr>
        <w:tc>
          <w:tcPr>
            <w:tcW w:w="9180" w:type="dxa"/>
            <w:gridSpan w:val="3"/>
          </w:tcPr>
          <w:p w:rsidR="00B45F7C" w:rsidRPr="00881D79" w:rsidRDefault="00A44354" w:rsidP="00A44354">
            <w:pPr>
              <w:spacing w:after="5" w:line="249" w:lineRule="auto"/>
              <w:rPr>
                <w:rFonts w:ascii="Arial" w:eastAsia="Calibri" w:hAnsi="Arial" w:cs="Arial"/>
                <w:color w:val="000000"/>
                <w:sz w:val="24"/>
                <w:szCs w:val="24"/>
                <w:lang w:eastAsia="en-GB"/>
              </w:rPr>
            </w:pPr>
            <w:r w:rsidRPr="00881D79">
              <w:rPr>
                <w:rFonts w:ascii="Arial" w:eastAsia="Calibri" w:hAnsi="Arial" w:cs="Arial"/>
                <w:color w:val="000000"/>
                <w:sz w:val="24"/>
                <w:szCs w:val="24"/>
                <w:lang w:eastAsia="en-GB"/>
              </w:rPr>
              <w:t xml:space="preserve">Reason for inclusion in Part II, if appropriate </w:t>
            </w:r>
          </w:p>
          <w:p w:rsidR="00B45F7C" w:rsidRPr="00881D79" w:rsidRDefault="003E7C2A" w:rsidP="00B45F7C">
            <w:pPr>
              <w:spacing w:after="5" w:line="249" w:lineRule="auto"/>
              <w:ind w:left="542" w:hanging="542"/>
              <w:rPr>
                <w:rFonts w:ascii="Arial" w:eastAsia="Calibri" w:hAnsi="Arial" w:cs="Arial"/>
                <w:color w:val="000000"/>
                <w:sz w:val="24"/>
                <w:szCs w:val="24"/>
                <w:lang w:eastAsia="en-GB"/>
              </w:rPr>
            </w:pPr>
          </w:p>
          <w:p w:rsidR="00B45F7C" w:rsidRPr="0012770A" w:rsidRDefault="0012770A" w:rsidP="0012770A">
            <w:pPr>
              <w:spacing w:after="5" w:line="249" w:lineRule="auto"/>
              <w:ind w:left="542" w:hanging="542"/>
              <w:rPr>
                <w:rFonts w:ascii="Arial" w:eastAsia="Calibri" w:hAnsi="Arial" w:cs="Arial"/>
                <w:sz w:val="24"/>
                <w:szCs w:val="24"/>
                <w:lang w:eastAsia="en-GB"/>
              </w:rPr>
            </w:pPr>
            <w:r>
              <w:rPr>
                <w:rFonts w:ascii="Arial" w:eastAsia="Calibri" w:hAnsi="Arial" w:cs="Arial"/>
                <w:sz w:val="24"/>
                <w:szCs w:val="24"/>
                <w:lang w:eastAsia="en-GB"/>
              </w:rPr>
              <w:t>N/A</w:t>
            </w:r>
          </w:p>
        </w:tc>
      </w:tr>
    </w:tbl>
    <w:p w:rsidR="00B45F7C" w:rsidRPr="00881D79" w:rsidRDefault="003E7C2A" w:rsidP="00A44354">
      <w:pPr>
        <w:pStyle w:val="NoSpacing"/>
        <w:jc w:val="both"/>
        <w:rPr>
          <w:rFonts w:cs="Arial"/>
          <w:szCs w:val="24"/>
        </w:rPr>
      </w:pPr>
    </w:p>
    <w:sectPr w:rsidR="00B45F7C" w:rsidRPr="00881D79">
      <w:headerReference w:type="default" r:id="rId8"/>
      <w:footerReference w:type="even" r:id="rId9"/>
      <w:footerReference w:type="default" r:id="rId10"/>
      <w:footerReference w:type="first" r:id="rId11"/>
      <w:footnotePr>
        <w:pos w:val="beneathTex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F7C" w:rsidRDefault="00A44354">
      <w:pPr>
        <w:spacing w:after="0" w:line="240" w:lineRule="auto"/>
      </w:pPr>
      <w:r>
        <w:separator/>
      </w:r>
    </w:p>
  </w:endnote>
  <w:endnote w:type="continuationSeparator" w:id="0">
    <w:p w:rsidR="00B45F7C" w:rsidRDefault="00A44354">
      <w:pPr>
        <w:spacing w:after="0" w:line="240" w:lineRule="auto"/>
      </w:pPr>
      <w:r>
        <w:continuationSeparator/>
      </w:r>
    </w:p>
  </w:endnote>
  <w:endnote w:id="1">
    <w:p w:rsidR="00A44354" w:rsidRPr="0012770A" w:rsidRDefault="00A44354" w:rsidP="0012770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7C" w:rsidRDefault="003E7C2A" w:rsidP="00B45F7C">
    <w:pPr>
      <w:pStyle w:val="Footer"/>
    </w:pPr>
    <w:bookmarkStart w:id="1" w:name="aliashAdvancedFooterprot1FooterEvenPages"/>
  </w:p>
  <w:bookmarkEnd w:id="1"/>
  <w:p w:rsidR="00B45F7C" w:rsidRDefault="003E7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7C" w:rsidRDefault="003E7C2A" w:rsidP="00B45F7C">
    <w:pPr>
      <w:pStyle w:val="Footer"/>
    </w:pPr>
    <w:bookmarkStart w:id="2" w:name="aliashAdvancedFooterprotec1FooterPrimary"/>
  </w:p>
  <w:bookmarkEnd w:id="2"/>
  <w:p w:rsidR="00B45F7C" w:rsidRDefault="003E7C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7C" w:rsidRDefault="003E7C2A" w:rsidP="00B45F7C">
    <w:pPr>
      <w:pStyle w:val="Footer"/>
    </w:pPr>
    <w:bookmarkStart w:id="3" w:name="aliashAdvancedFooterprot1FooterFirstPage"/>
  </w:p>
  <w:bookmarkEnd w:id="3"/>
  <w:p w:rsidR="00B45F7C" w:rsidRDefault="003E7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A0" w:rsidRDefault="00A44354">
      <w:pPr>
        <w:spacing w:after="0" w:line="240" w:lineRule="auto"/>
      </w:pPr>
      <w:r>
        <w:separator/>
      </w:r>
    </w:p>
  </w:footnote>
  <w:footnote w:type="continuationSeparator" w:id="0">
    <w:p w:rsidR="00B501A0" w:rsidRDefault="00A44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7C" w:rsidRDefault="00A44354" w:rsidP="00B45F7C">
    <w:pPr>
      <w:pStyle w:val="Header"/>
    </w:pPr>
    <w:r w:rsidRPr="00DA16C4">
      <w:rPr>
        <w:noProof/>
        <w:lang w:eastAsia="en-GB"/>
      </w:rPr>
      <w:drawing>
        <wp:inline distT="0" distB="0" distL="0" distR="0">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918158"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369"/>
    <w:multiLevelType w:val="hybridMultilevel"/>
    <w:tmpl w:val="15F6C4B6"/>
    <w:lvl w:ilvl="0" w:tplc="C3BEDA1C">
      <w:start w:val="1"/>
      <w:numFmt w:val="bullet"/>
      <w:lvlText w:val=""/>
      <w:lvlJc w:val="left"/>
      <w:pPr>
        <w:ind w:left="720" w:hanging="360"/>
      </w:pPr>
      <w:rPr>
        <w:rFonts w:ascii="Symbol" w:hAnsi="Symbol" w:hint="default"/>
      </w:rPr>
    </w:lvl>
    <w:lvl w:ilvl="1" w:tplc="E242A0EC" w:tentative="1">
      <w:start w:val="1"/>
      <w:numFmt w:val="bullet"/>
      <w:lvlText w:val="o"/>
      <w:lvlJc w:val="left"/>
      <w:pPr>
        <w:ind w:left="1440" w:hanging="360"/>
      </w:pPr>
      <w:rPr>
        <w:rFonts w:ascii="Courier New" w:hAnsi="Courier New" w:cs="Courier New" w:hint="default"/>
      </w:rPr>
    </w:lvl>
    <w:lvl w:ilvl="2" w:tplc="F490C20E" w:tentative="1">
      <w:start w:val="1"/>
      <w:numFmt w:val="bullet"/>
      <w:lvlText w:val=""/>
      <w:lvlJc w:val="left"/>
      <w:pPr>
        <w:ind w:left="2160" w:hanging="360"/>
      </w:pPr>
      <w:rPr>
        <w:rFonts w:ascii="Wingdings" w:hAnsi="Wingdings" w:hint="default"/>
      </w:rPr>
    </w:lvl>
    <w:lvl w:ilvl="3" w:tplc="0B2CE020" w:tentative="1">
      <w:start w:val="1"/>
      <w:numFmt w:val="bullet"/>
      <w:lvlText w:val=""/>
      <w:lvlJc w:val="left"/>
      <w:pPr>
        <w:ind w:left="2880" w:hanging="360"/>
      </w:pPr>
      <w:rPr>
        <w:rFonts w:ascii="Symbol" w:hAnsi="Symbol" w:hint="default"/>
      </w:rPr>
    </w:lvl>
    <w:lvl w:ilvl="4" w:tplc="A8ECDFC6" w:tentative="1">
      <w:start w:val="1"/>
      <w:numFmt w:val="bullet"/>
      <w:lvlText w:val="o"/>
      <w:lvlJc w:val="left"/>
      <w:pPr>
        <w:ind w:left="3600" w:hanging="360"/>
      </w:pPr>
      <w:rPr>
        <w:rFonts w:ascii="Courier New" w:hAnsi="Courier New" w:cs="Courier New" w:hint="default"/>
      </w:rPr>
    </w:lvl>
    <w:lvl w:ilvl="5" w:tplc="4BCAF78A" w:tentative="1">
      <w:start w:val="1"/>
      <w:numFmt w:val="bullet"/>
      <w:lvlText w:val=""/>
      <w:lvlJc w:val="left"/>
      <w:pPr>
        <w:ind w:left="4320" w:hanging="360"/>
      </w:pPr>
      <w:rPr>
        <w:rFonts w:ascii="Wingdings" w:hAnsi="Wingdings" w:hint="default"/>
      </w:rPr>
    </w:lvl>
    <w:lvl w:ilvl="6" w:tplc="19D2F938" w:tentative="1">
      <w:start w:val="1"/>
      <w:numFmt w:val="bullet"/>
      <w:lvlText w:val=""/>
      <w:lvlJc w:val="left"/>
      <w:pPr>
        <w:ind w:left="5040" w:hanging="360"/>
      </w:pPr>
      <w:rPr>
        <w:rFonts w:ascii="Symbol" w:hAnsi="Symbol" w:hint="default"/>
      </w:rPr>
    </w:lvl>
    <w:lvl w:ilvl="7" w:tplc="A3E2A4A4" w:tentative="1">
      <w:start w:val="1"/>
      <w:numFmt w:val="bullet"/>
      <w:lvlText w:val="o"/>
      <w:lvlJc w:val="left"/>
      <w:pPr>
        <w:ind w:left="5760" w:hanging="360"/>
      </w:pPr>
      <w:rPr>
        <w:rFonts w:ascii="Courier New" w:hAnsi="Courier New" w:cs="Courier New" w:hint="default"/>
      </w:rPr>
    </w:lvl>
    <w:lvl w:ilvl="8" w:tplc="C296A90E" w:tentative="1">
      <w:start w:val="1"/>
      <w:numFmt w:val="bullet"/>
      <w:lvlText w:val=""/>
      <w:lvlJc w:val="left"/>
      <w:pPr>
        <w:ind w:left="6480" w:hanging="360"/>
      </w:pPr>
      <w:rPr>
        <w:rFonts w:ascii="Wingdings" w:hAnsi="Wingdings" w:hint="default"/>
      </w:rPr>
    </w:lvl>
  </w:abstractNum>
  <w:abstractNum w:abstractNumId="1" w15:restartNumberingAfterBreak="0">
    <w:nsid w:val="08A42B64"/>
    <w:multiLevelType w:val="hybridMultilevel"/>
    <w:tmpl w:val="C31CC5EA"/>
    <w:lvl w:ilvl="0" w:tplc="DEFE3D94">
      <w:start w:val="1"/>
      <w:numFmt w:val="bullet"/>
      <w:lvlText w:val=""/>
      <w:lvlJc w:val="left"/>
      <w:pPr>
        <w:ind w:left="720" w:hanging="360"/>
      </w:pPr>
      <w:rPr>
        <w:rFonts w:ascii="Symbol" w:hAnsi="Symbol" w:hint="default"/>
      </w:rPr>
    </w:lvl>
    <w:lvl w:ilvl="1" w:tplc="C8E6C07C" w:tentative="1">
      <w:start w:val="1"/>
      <w:numFmt w:val="bullet"/>
      <w:lvlText w:val="o"/>
      <w:lvlJc w:val="left"/>
      <w:pPr>
        <w:ind w:left="1440" w:hanging="360"/>
      </w:pPr>
      <w:rPr>
        <w:rFonts w:ascii="Courier New" w:hAnsi="Courier New" w:cs="Courier New" w:hint="default"/>
      </w:rPr>
    </w:lvl>
    <w:lvl w:ilvl="2" w:tplc="0AA0DAAE" w:tentative="1">
      <w:start w:val="1"/>
      <w:numFmt w:val="bullet"/>
      <w:lvlText w:val=""/>
      <w:lvlJc w:val="left"/>
      <w:pPr>
        <w:ind w:left="2160" w:hanging="360"/>
      </w:pPr>
      <w:rPr>
        <w:rFonts w:ascii="Wingdings" w:hAnsi="Wingdings" w:hint="default"/>
      </w:rPr>
    </w:lvl>
    <w:lvl w:ilvl="3" w:tplc="D03C3AD8" w:tentative="1">
      <w:start w:val="1"/>
      <w:numFmt w:val="bullet"/>
      <w:lvlText w:val=""/>
      <w:lvlJc w:val="left"/>
      <w:pPr>
        <w:ind w:left="2880" w:hanging="360"/>
      </w:pPr>
      <w:rPr>
        <w:rFonts w:ascii="Symbol" w:hAnsi="Symbol" w:hint="default"/>
      </w:rPr>
    </w:lvl>
    <w:lvl w:ilvl="4" w:tplc="E92CFFEA" w:tentative="1">
      <w:start w:val="1"/>
      <w:numFmt w:val="bullet"/>
      <w:lvlText w:val="o"/>
      <w:lvlJc w:val="left"/>
      <w:pPr>
        <w:ind w:left="3600" w:hanging="360"/>
      </w:pPr>
      <w:rPr>
        <w:rFonts w:ascii="Courier New" w:hAnsi="Courier New" w:cs="Courier New" w:hint="default"/>
      </w:rPr>
    </w:lvl>
    <w:lvl w:ilvl="5" w:tplc="807226C8" w:tentative="1">
      <w:start w:val="1"/>
      <w:numFmt w:val="bullet"/>
      <w:lvlText w:val=""/>
      <w:lvlJc w:val="left"/>
      <w:pPr>
        <w:ind w:left="4320" w:hanging="360"/>
      </w:pPr>
      <w:rPr>
        <w:rFonts w:ascii="Wingdings" w:hAnsi="Wingdings" w:hint="default"/>
      </w:rPr>
    </w:lvl>
    <w:lvl w:ilvl="6" w:tplc="21C01BA2" w:tentative="1">
      <w:start w:val="1"/>
      <w:numFmt w:val="bullet"/>
      <w:lvlText w:val=""/>
      <w:lvlJc w:val="left"/>
      <w:pPr>
        <w:ind w:left="5040" w:hanging="360"/>
      </w:pPr>
      <w:rPr>
        <w:rFonts w:ascii="Symbol" w:hAnsi="Symbol" w:hint="default"/>
      </w:rPr>
    </w:lvl>
    <w:lvl w:ilvl="7" w:tplc="7B54C1E0" w:tentative="1">
      <w:start w:val="1"/>
      <w:numFmt w:val="bullet"/>
      <w:lvlText w:val="o"/>
      <w:lvlJc w:val="left"/>
      <w:pPr>
        <w:ind w:left="5760" w:hanging="360"/>
      </w:pPr>
      <w:rPr>
        <w:rFonts w:ascii="Courier New" w:hAnsi="Courier New" w:cs="Courier New" w:hint="default"/>
      </w:rPr>
    </w:lvl>
    <w:lvl w:ilvl="8" w:tplc="688E939C" w:tentative="1">
      <w:start w:val="1"/>
      <w:numFmt w:val="bullet"/>
      <w:lvlText w:val=""/>
      <w:lvlJc w:val="left"/>
      <w:pPr>
        <w:ind w:left="6480" w:hanging="360"/>
      </w:pPr>
      <w:rPr>
        <w:rFonts w:ascii="Wingdings" w:hAnsi="Wingdings" w:hint="default"/>
      </w:rPr>
    </w:lvl>
  </w:abstractNum>
  <w:abstractNum w:abstractNumId="2" w15:restartNumberingAfterBreak="0">
    <w:nsid w:val="0B3D5D79"/>
    <w:multiLevelType w:val="hybridMultilevel"/>
    <w:tmpl w:val="84F6677C"/>
    <w:lvl w:ilvl="0" w:tplc="C040C7D2">
      <w:start w:val="1"/>
      <w:numFmt w:val="bullet"/>
      <w:lvlText w:val=""/>
      <w:lvlJc w:val="left"/>
      <w:pPr>
        <w:ind w:left="720" w:hanging="360"/>
      </w:pPr>
      <w:rPr>
        <w:rFonts w:ascii="Symbol" w:hAnsi="Symbol" w:hint="default"/>
      </w:rPr>
    </w:lvl>
    <w:lvl w:ilvl="1" w:tplc="6D4C9252" w:tentative="1">
      <w:start w:val="1"/>
      <w:numFmt w:val="bullet"/>
      <w:lvlText w:val="o"/>
      <w:lvlJc w:val="left"/>
      <w:pPr>
        <w:ind w:left="1440" w:hanging="360"/>
      </w:pPr>
      <w:rPr>
        <w:rFonts w:ascii="Courier New" w:hAnsi="Courier New" w:cs="Courier New" w:hint="default"/>
      </w:rPr>
    </w:lvl>
    <w:lvl w:ilvl="2" w:tplc="F11A3D04" w:tentative="1">
      <w:start w:val="1"/>
      <w:numFmt w:val="bullet"/>
      <w:lvlText w:val=""/>
      <w:lvlJc w:val="left"/>
      <w:pPr>
        <w:ind w:left="2160" w:hanging="360"/>
      </w:pPr>
      <w:rPr>
        <w:rFonts w:ascii="Wingdings" w:hAnsi="Wingdings" w:hint="default"/>
      </w:rPr>
    </w:lvl>
    <w:lvl w:ilvl="3" w:tplc="2A544C46" w:tentative="1">
      <w:start w:val="1"/>
      <w:numFmt w:val="bullet"/>
      <w:lvlText w:val=""/>
      <w:lvlJc w:val="left"/>
      <w:pPr>
        <w:ind w:left="2880" w:hanging="360"/>
      </w:pPr>
      <w:rPr>
        <w:rFonts w:ascii="Symbol" w:hAnsi="Symbol" w:hint="default"/>
      </w:rPr>
    </w:lvl>
    <w:lvl w:ilvl="4" w:tplc="9550A98C" w:tentative="1">
      <w:start w:val="1"/>
      <w:numFmt w:val="bullet"/>
      <w:lvlText w:val="o"/>
      <w:lvlJc w:val="left"/>
      <w:pPr>
        <w:ind w:left="3600" w:hanging="360"/>
      </w:pPr>
      <w:rPr>
        <w:rFonts w:ascii="Courier New" w:hAnsi="Courier New" w:cs="Courier New" w:hint="default"/>
      </w:rPr>
    </w:lvl>
    <w:lvl w:ilvl="5" w:tplc="D750A3B0" w:tentative="1">
      <w:start w:val="1"/>
      <w:numFmt w:val="bullet"/>
      <w:lvlText w:val=""/>
      <w:lvlJc w:val="left"/>
      <w:pPr>
        <w:ind w:left="4320" w:hanging="360"/>
      </w:pPr>
      <w:rPr>
        <w:rFonts w:ascii="Wingdings" w:hAnsi="Wingdings" w:hint="default"/>
      </w:rPr>
    </w:lvl>
    <w:lvl w:ilvl="6" w:tplc="2C042254" w:tentative="1">
      <w:start w:val="1"/>
      <w:numFmt w:val="bullet"/>
      <w:lvlText w:val=""/>
      <w:lvlJc w:val="left"/>
      <w:pPr>
        <w:ind w:left="5040" w:hanging="360"/>
      </w:pPr>
      <w:rPr>
        <w:rFonts w:ascii="Symbol" w:hAnsi="Symbol" w:hint="default"/>
      </w:rPr>
    </w:lvl>
    <w:lvl w:ilvl="7" w:tplc="5F0E38DA" w:tentative="1">
      <w:start w:val="1"/>
      <w:numFmt w:val="bullet"/>
      <w:lvlText w:val="o"/>
      <w:lvlJc w:val="left"/>
      <w:pPr>
        <w:ind w:left="5760" w:hanging="360"/>
      </w:pPr>
      <w:rPr>
        <w:rFonts w:ascii="Courier New" w:hAnsi="Courier New" w:cs="Courier New" w:hint="default"/>
      </w:rPr>
    </w:lvl>
    <w:lvl w:ilvl="8" w:tplc="5CD4AAF0" w:tentative="1">
      <w:start w:val="1"/>
      <w:numFmt w:val="bullet"/>
      <w:lvlText w:val=""/>
      <w:lvlJc w:val="left"/>
      <w:pPr>
        <w:ind w:left="6480" w:hanging="360"/>
      </w:pPr>
      <w:rPr>
        <w:rFonts w:ascii="Wingdings" w:hAnsi="Wingdings" w:hint="default"/>
      </w:rPr>
    </w:lvl>
  </w:abstractNum>
  <w:abstractNum w:abstractNumId="3" w15:restartNumberingAfterBreak="0">
    <w:nsid w:val="0F060D89"/>
    <w:multiLevelType w:val="hybridMultilevel"/>
    <w:tmpl w:val="C5D645D8"/>
    <w:lvl w:ilvl="0" w:tplc="DA6A9F6C">
      <w:start w:val="1"/>
      <w:numFmt w:val="bullet"/>
      <w:lvlText w:val=""/>
      <w:lvlJc w:val="left"/>
      <w:pPr>
        <w:ind w:left="720" w:hanging="360"/>
      </w:pPr>
      <w:rPr>
        <w:rFonts w:ascii="Symbol" w:hAnsi="Symbol" w:hint="default"/>
      </w:rPr>
    </w:lvl>
    <w:lvl w:ilvl="1" w:tplc="698CBEC6" w:tentative="1">
      <w:start w:val="1"/>
      <w:numFmt w:val="bullet"/>
      <w:lvlText w:val="o"/>
      <w:lvlJc w:val="left"/>
      <w:pPr>
        <w:ind w:left="1440" w:hanging="360"/>
      </w:pPr>
      <w:rPr>
        <w:rFonts w:ascii="Courier New" w:hAnsi="Courier New" w:cs="Courier New" w:hint="default"/>
      </w:rPr>
    </w:lvl>
    <w:lvl w:ilvl="2" w:tplc="2AF084BC" w:tentative="1">
      <w:start w:val="1"/>
      <w:numFmt w:val="bullet"/>
      <w:lvlText w:val=""/>
      <w:lvlJc w:val="left"/>
      <w:pPr>
        <w:ind w:left="2160" w:hanging="360"/>
      </w:pPr>
      <w:rPr>
        <w:rFonts w:ascii="Wingdings" w:hAnsi="Wingdings" w:hint="default"/>
      </w:rPr>
    </w:lvl>
    <w:lvl w:ilvl="3" w:tplc="9FC6F036" w:tentative="1">
      <w:start w:val="1"/>
      <w:numFmt w:val="bullet"/>
      <w:lvlText w:val=""/>
      <w:lvlJc w:val="left"/>
      <w:pPr>
        <w:ind w:left="2880" w:hanging="360"/>
      </w:pPr>
      <w:rPr>
        <w:rFonts w:ascii="Symbol" w:hAnsi="Symbol" w:hint="default"/>
      </w:rPr>
    </w:lvl>
    <w:lvl w:ilvl="4" w:tplc="E716E8F4" w:tentative="1">
      <w:start w:val="1"/>
      <w:numFmt w:val="bullet"/>
      <w:lvlText w:val="o"/>
      <w:lvlJc w:val="left"/>
      <w:pPr>
        <w:ind w:left="3600" w:hanging="360"/>
      </w:pPr>
      <w:rPr>
        <w:rFonts w:ascii="Courier New" w:hAnsi="Courier New" w:cs="Courier New" w:hint="default"/>
      </w:rPr>
    </w:lvl>
    <w:lvl w:ilvl="5" w:tplc="61708E1C" w:tentative="1">
      <w:start w:val="1"/>
      <w:numFmt w:val="bullet"/>
      <w:lvlText w:val=""/>
      <w:lvlJc w:val="left"/>
      <w:pPr>
        <w:ind w:left="4320" w:hanging="360"/>
      </w:pPr>
      <w:rPr>
        <w:rFonts w:ascii="Wingdings" w:hAnsi="Wingdings" w:hint="default"/>
      </w:rPr>
    </w:lvl>
    <w:lvl w:ilvl="6" w:tplc="3F8C4098" w:tentative="1">
      <w:start w:val="1"/>
      <w:numFmt w:val="bullet"/>
      <w:lvlText w:val=""/>
      <w:lvlJc w:val="left"/>
      <w:pPr>
        <w:ind w:left="5040" w:hanging="360"/>
      </w:pPr>
      <w:rPr>
        <w:rFonts w:ascii="Symbol" w:hAnsi="Symbol" w:hint="default"/>
      </w:rPr>
    </w:lvl>
    <w:lvl w:ilvl="7" w:tplc="7A266A7C" w:tentative="1">
      <w:start w:val="1"/>
      <w:numFmt w:val="bullet"/>
      <w:lvlText w:val="o"/>
      <w:lvlJc w:val="left"/>
      <w:pPr>
        <w:ind w:left="5760" w:hanging="360"/>
      </w:pPr>
      <w:rPr>
        <w:rFonts w:ascii="Courier New" w:hAnsi="Courier New" w:cs="Courier New" w:hint="default"/>
      </w:rPr>
    </w:lvl>
    <w:lvl w:ilvl="8" w:tplc="76FE7F1A" w:tentative="1">
      <w:start w:val="1"/>
      <w:numFmt w:val="bullet"/>
      <w:lvlText w:val=""/>
      <w:lvlJc w:val="left"/>
      <w:pPr>
        <w:ind w:left="6480" w:hanging="360"/>
      </w:pPr>
      <w:rPr>
        <w:rFonts w:ascii="Wingdings" w:hAnsi="Wingdings" w:hint="default"/>
      </w:rPr>
    </w:lvl>
  </w:abstractNum>
  <w:abstractNum w:abstractNumId="4" w15:restartNumberingAfterBreak="0">
    <w:nsid w:val="1529788C"/>
    <w:multiLevelType w:val="hybridMultilevel"/>
    <w:tmpl w:val="A4A01B66"/>
    <w:lvl w:ilvl="0" w:tplc="C196134E">
      <w:start w:val="1"/>
      <w:numFmt w:val="bullet"/>
      <w:lvlText w:val=""/>
      <w:lvlJc w:val="left"/>
      <w:pPr>
        <w:ind w:left="720" w:hanging="360"/>
      </w:pPr>
      <w:rPr>
        <w:rFonts w:ascii="Symbol" w:hAnsi="Symbol" w:hint="default"/>
      </w:rPr>
    </w:lvl>
    <w:lvl w:ilvl="1" w:tplc="03761628" w:tentative="1">
      <w:start w:val="1"/>
      <w:numFmt w:val="bullet"/>
      <w:lvlText w:val="o"/>
      <w:lvlJc w:val="left"/>
      <w:pPr>
        <w:ind w:left="1440" w:hanging="360"/>
      </w:pPr>
      <w:rPr>
        <w:rFonts w:ascii="Courier New" w:hAnsi="Courier New" w:cs="Courier New" w:hint="default"/>
      </w:rPr>
    </w:lvl>
    <w:lvl w:ilvl="2" w:tplc="50A2E54C" w:tentative="1">
      <w:start w:val="1"/>
      <w:numFmt w:val="bullet"/>
      <w:lvlText w:val=""/>
      <w:lvlJc w:val="left"/>
      <w:pPr>
        <w:ind w:left="2160" w:hanging="360"/>
      </w:pPr>
      <w:rPr>
        <w:rFonts w:ascii="Wingdings" w:hAnsi="Wingdings" w:hint="default"/>
      </w:rPr>
    </w:lvl>
    <w:lvl w:ilvl="3" w:tplc="2C02AF84" w:tentative="1">
      <w:start w:val="1"/>
      <w:numFmt w:val="bullet"/>
      <w:lvlText w:val=""/>
      <w:lvlJc w:val="left"/>
      <w:pPr>
        <w:ind w:left="2880" w:hanging="360"/>
      </w:pPr>
      <w:rPr>
        <w:rFonts w:ascii="Symbol" w:hAnsi="Symbol" w:hint="default"/>
      </w:rPr>
    </w:lvl>
    <w:lvl w:ilvl="4" w:tplc="EA00BB36" w:tentative="1">
      <w:start w:val="1"/>
      <w:numFmt w:val="bullet"/>
      <w:lvlText w:val="o"/>
      <w:lvlJc w:val="left"/>
      <w:pPr>
        <w:ind w:left="3600" w:hanging="360"/>
      </w:pPr>
      <w:rPr>
        <w:rFonts w:ascii="Courier New" w:hAnsi="Courier New" w:cs="Courier New" w:hint="default"/>
      </w:rPr>
    </w:lvl>
    <w:lvl w:ilvl="5" w:tplc="A2E23420" w:tentative="1">
      <w:start w:val="1"/>
      <w:numFmt w:val="bullet"/>
      <w:lvlText w:val=""/>
      <w:lvlJc w:val="left"/>
      <w:pPr>
        <w:ind w:left="4320" w:hanging="360"/>
      </w:pPr>
      <w:rPr>
        <w:rFonts w:ascii="Wingdings" w:hAnsi="Wingdings" w:hint="default"/>
      </w:rPr>
    </w:lvl>
    <w:lvl w:ilvl="6" w:tplc="2E8ACF4C" w:tentative="1">
      <w:start w:val="1"/>
      <w:numFmt w:val="bullet"/>
      <w:lvlText w:val=""/>
      <w:lvlJc w:val="left"/>
      <w:pPr>
        <w:ind w:left="5040" w:hanging="360"/>
      </w:pPr>
      <w:rPr>
        <w:rFonts w:ascii="Symbol" w:hAnsi="Symbol" w:hint="default"/>
      </w:rPr>
    </w:lvl>
    <w:lvl w:ilvl="7" w:tplc="4ABC8CB6" w:tentative="1">
      <w:start w:val="1"/>
      <w:numFmt w:val="bullet"/>
      <w:lvlText w:val="o"/>
      <w:lvlJc w:val="left"/>
      <w:pPr>
        <w:ind w:left="5760" w:hanging="360"/>
      </w:pPr>
      <w:rPr>
        <w:rFonts w:ascii="Courier New" w:hAnsi="Courier New" w:cs="Courier New" w:hint="default"/>
      </w:rPr>
    </w:lvl>
    <w:lvl w:ilvl="8" w:tplc="B4B40DD4" w:tentative="1">
      <w:start w:val="1"/>
      <w:numFmt w:val="bullet"/>
      <w:lvlText w:val=""/>
      <w:lvlJc w:val="left"/>
      <w:pPr>
        <w:ind w:left="6480" w:hanging="360"/>
      </w:pPr>
      <w:rPr>
        <w:rFonts w:ascii="Wingdings" w:hAnsi="Wingdings" w:hint="default"/>
      </w:rPr>
    </w:lvl>
  </w:abstractNum>
  <w:abstractNum w:abstractNumId="5" w15:restartNumberingAfterBreak="0">
    <w:nsid w:val="2DE02CEF"/>
    <w:multiLevelType w:val="hybridMultilevel"/>
    <w:tmpl w:val="F9E8E80A"/>
    <w:lvl w:ilvl="0" w:tplc="E8686DC2">
      <w:numFmt w:val="bullet"/>
      <w:lvlText w:val="-"/>
      <w:lvlJc w:val="left"/>
      <w:pPr>
        <w:ind w:left="1440" w:hanging="360"/>
      </w:pPr>
      <w:rPr>
        <w:rFonts w:ascii="Calibri" w:eastAsiaTheme="minorHAnsi" w:hAnsi="Calibri" w:cstheme="minorBidi" w:hint="default"/>
      </w:rPr>
    </w:lvl>
    <w:lvl w:ilvl="1" w:tplc="2270701A" w:tentative="1">
      <w:start w:val="1"/>
      <w:numFmt w:val="bullet"/>
      <w:lvlText w:val="o"/>
      <w:lvlJc w:val="left"/>
      <w:pPr>
        <w:ind w:left="2160" w:hanging="360"/>
      </w:pPr>
      <w:rPr>
        <w:rFonts w:ascii="Courier New" w:hAnsi="Courier New" w:cs="Courier New" w:hint="default"/>
      </w:rPr>
    </w:lvl>
    <w:lvl w:ilvl="2" w:tplc="350C8FC0" w:tentative="1">
      <w:start w:val="1"/>
      <w:numFmt w:val="bullet"/>
      <w:lvlText w:val=""/>
      <w:lvlJc w:val="left"/>
      <w:pPr>
        <w:ind w:left="2880" w:hanging="360"/>
      </w:pPr>
      <w:rPr>
        <w:rFonts w:ascii="Wingdings" w:hAnsi="Wingdings" w:hint="default"/>
      </w:rPr>
    </w:lvl>
    <w:lvl w:ilvl="3" w:tplc="5308D446" w:tentative="1">
      <w:start w:val="1"/>
      <w:numFmt w:val="bullet"/>
      <w:lvlText w:val=""/>
      <w:lvlJc w:val="left"/>
      <w:pPr>
        <w:ind w:left="3600" w:hanging="360"/>
      </w:pPr>
      <w:rPr>
        <w:rFonts w:ascii="Symbol" w:hAnsi="Symbol" w:hint="default"/>
      </w:rPr>
    </w:lvl>
    <w:lvl w:ilvl="4" w:tplc="3548740A" w:tentative="1">
      <w:start w:val="1"/>
      <w:numFmt w:val="bullet"/>
      <w:lvlText w:val="o"/>
      <w:lvlJc w:val="left"/>
      <w:pPr>
        <w:ind w:left="4320" w:hanging="360"/>
      </w:pPr>
      <w:rPr>
        <w:rFonts w:ascii="Courier New" w:hAnsi="Courier New" w:cs="Courier New" w:hint="default"/>
      </w:rPr>
    </w:lvl>
    <w:lvl w:ilvl="5" w:tplc="07C0D244" w:tentative="1">
      <w:start w:val="1"/>
      <w:numFmt w:val="bullet"/>
      <w:lvlText w:val=""/>
      <w:lvlJc w:val="left"/>
      <w:pPr>
        <w:ind w:left="5040" w:hanging="360"/>
      </w:pPr>
      <w:rPr>
        <w:rFonts w:ascii="Wingdings" w:hAnsi="Wingdings" w:hint="default"/>
      </w:rPr>
    </w:lvl>
    <w:lvl w:ilvl="6" w:tplc="14D6AEBA" w:tentative="1">
      <w:start w:val="1"/>
      <w:numFmt w:val="bullet"/>
      <w:lvlText w:val=""/>
      <w:lvlJc w:val="left"/>
      <w:pPr>
        <w:ind w:left="5760" w:hanging="360"/>
      </w:pPr>
      <w:rPr>
        <w:rFonts w:ascii="Symbol" w:hAnsi="Symbol" w:hint="default"/>
      </w:rPr>
    </w:lvl>
    <w:lvl w:ilvl="7" w:tplc="B9AEED16" w:tentative="1">
      <w:start w:val="1"/>
      <w:numFmt w:val="bullet"/>
      <w:lvlText w:val="o"/>
      <w:lvlJc w:val="left"/>
      <w:pPr>
        <w:ind w:left="6480" w:hanging="360"/>
      </w:pPr>
      <w:rPr>
        <w:rFonts w:ascii="Courier New" w:hAnsi="Courier New" w:cs="Courier New" w:hint="default"/>
      </w:rPr>
    </w:lvl>
    <w:lvl w:ilvl="8" w:tplc="0506377C" w:tentative="1">
      <w:start w:val="1"/>
      <w:numFmt w:val="bullet"/>
      <w:lvlText w:val=""/>
      <w:lvlJc w:val="left"/>
      <w:pPr>
        <w:ind w:left="7200" w:hanging="360"/>
      </w:pPr>
      <w:rPr>
        <w:rFonts w:ascii="Wingdings" w:hAnsi="Wingdings" w:hint="default"/>
      </w:rPr>
    </w:lvl>
  </w:abstractNum>
  <w:abstractNum w:abstractNumId="6" w15:restartNumberingAfterBreak="0">
    <w:nsid w:val="325815FB"/>
    <w:multiLevelType w:val="hybridMultilevel"/>
    <w:tmpl w:val="CB565D0E"/>
    <w:lvl w:ilvl="0" w:tplc="0186D756">
      <w:start w:val="1"/>
      <w:numFmt w:val="bullet"/>
      <w:lvlText w:val=""/>
      <w:lvlJc w:val="left"/>
      <w:pPr>
        <w:ind w:left="720" w:hanging="360"/>
      </w:pPr>
      <w:rPr>
        <w:rFonts w:ascii="Symbol" w:hAnsi="Symbol" w:hint="default"/>
      </w:rPr>
    </w:lvl>
    <w:lvl w:ilvl="1" w:tplc="BE868A00" w:tentative="1">
      <w:start w:val="1"/>
      <w:numFmt w:val="bullet"/>
      <w:lvlText w:val="o"/>
      <w:lvlJc w:val="left"/>
      <w:pPr>
        <w:ind w:left="1440" w:hanging="360"/>
      </w:pPr>
      <w:rPr>
        <w:rFonts w:ascii="Courier New" w:hAnsi="Courier New" w:cs="Courier New" w:hint="default"/>
      </w:rPr>
    </w:lvl>
    <w:lvl w:ilvl="2" w:tplc="B388F424" w:tentative="1">
      <w:start w:val="1"/>
      <w:numFmt w:val="bullet"/>
      <w:lvlText w:val=""/>
      <w:lvlJc w:val="left"/>
      <w:pPr>
        <w:ind w:left="2160" w:hanging="360"/>
      </w:pPr>
      <w:rPr>
        <w:rFonts w:ascii="Wingdings" w:hAnsi="Wingdings" w:hint="default"/>
      </w:rPr>
    </w:lvl>
    <w:lvl w:ilvl="3" w:tplc="C486F032" w:tentative="1">
      <w:start w:val="1"/>
      <w:numFmt w:val="bullet"/>
      <w:lvlText w:val=""/>
      <w:lvlJc w:val="left"/>
      <w:pPr>
        <w:ind w:left="2880" w:hanging="360"/>
      </w:pPr>
      <w:rPr>
        <w:rFonts w:ascii="Symbol" w:hAnsi="Symbol" w:hint="default"/>
      </w:rPr>
    </w:lvl>
    <w:lvl w:ilvl="4" w:tplc="75F24C76" w:tentative="1">
      <w:start w:val="1"/>
      <w:numFmt w:val="bullet"/>
      <w:lvlText w:val="o"/>
      <w:lvlJc w:val="left"/>
      <w:pPr>
        <w:ind w:left="3600" w:hanging="360"/>
      </w:pPr>
      <w:rPr>
        <w:rFonts w:ascii="Courier New" w:hAnsi="Courier New" w:cs="Courier New" w:hint="default"/>
      </w:rPr>
    </w:lvl>
    <w:lvl w:ilvl="5" w:tplc="BC28E2D6" w:tentative="1">
      <w:start w:val="1"/>
      <w:numFmt w:val="bullet"/>
      <w:lvlText w:val=""/>
      <w:lvlJc w:val="left"/>
      <w:pPr>
        <w:ind w:left="4320" w:hanging="360"/>
      </w:pPr>
      <w:rPr>
        <w:rFonts w:ascii="Wingdings" w:hAnsi="Wingdings" w:hint="default"/>
      </w:rPr>
    </w:lvl>
    <w:lvl w:ilvl="6" w:tplc="CC546B82" w:tentative="1">
      <w:start w:val="1"/>
      <w:numFmt w:val="bullet"/>
      <w:lvlText w:val=""/>
      <w:lvlJc w:val="left"/>
      <w:pPr>
        <w:ind w:left="5040" w:hanging="360"/>
      </w:pPr>
      <w:rPr>
        <w:rFonts w:ascii="Symbol" w:hAnsi="Symbol" w:hint="default"/>
      </w:rPr>
    </w:lvl>
    <w:lvl w:ilvl="7" w:tplc="EE78016A" w:tentative="1">
      <w:start w:val="1"/>
      <w:numFmt w:val="bullet"/>
      <w:lvlText w:val="o"/>
      <w:lvlJc w:val="left"/>
      <w:pPr>
        <w:ind w:left="5760" w:hanging="360"/>
      </w:pPr>
      <w:rPr>
        <w:rFonts w:ascii="Courier New" w:hAnsi="Courier New" w:cs="Courier New" w:hint="default"/>
      </w:rPr>
    </w:lvl>
    <w:lvl w:ilvl="8" w:tplc="C07AA5E2" w:tentative="1">
      <w:start w:val="1"/>
      <w:numFmt w:val="bullet"/>
      <w:lvlText w:val=""/>
      <w:lvlJc w:val="left"/>
      <w:pPr>
        <w:ind w:left="6480" w:hanging="360"/>
      </w:pPr>
      <w:rPr>
        <w:rFonts w:ascii="Wingdings" w:hAnsi="Wingdings" w:hint="default"/>
      </w:rPr>
    </w:lvl>
  </w:abstractNum>
  <w:abstractNum w:abstractNumId="7" w15:restartNumberingAfterBreak="0">
    <w:nsid w:val="33E3593F"/>
    <w:multiLevelType w:val="hybridMultilevel"/>
    <w:tmpl w:val="9BE2B1D2"/>
    <w:lvl w:ilvl="0" w:tplc="FF7C038A">
      <w:start w:val="1"/>
      <w:numFmt w:val="bullet"/>
      <w:lvlText w:val=""/>
      <w:lvlJc w:val="left"/>
      <w:pPr>
        <w:ind w:left="720" w:hanging="360"/>
      </w:pPr>
      <w:rPr>
        <w:rFonts w:ascii="Symbol" w:hAnsi="Symbol" w:hint="default"/>
        <w:color w:val="auto"/>
      </w:rPr>
    </w:lvl>
    <w:lvl w:ilvl="1" w:tplc="03F65EF8" w:tentative="1">
      <w:start w:val="1"/>
      <w:numFmt w:val="bullet"/>
      <w:lvlText w:val="o"/>
      <w:lvlJc w:val="left"/>
      <w:pPr>
        <w:ind w:left="1440" w:hanging="360"/>
      </w:pPr>
      <w:rPr>
        <w:rFonts w:ascii="Courier New" w:hAnsi="Courier New" w:cs="Courier New" w:hint="default"/>
      </w:rPr>
    </w:lvl>
    <w:lvl w:ilvl="2" w:tplc="BF584416" w:tentative="1">
      <w:start w:val="1"/>
      <w:numFmt w:val="bullet"/>
      <w:lvlText w:val=""/>
      <w:lvlJc w:val="left"/>
      <w:pPr>
        <w:ind w:left="2160" w:hanging="360"/>
      </w:pPr>
      <w:rPr>
        <w:rFonts w:ascii="Wingdings" w:hAnsi="Wingdings" w:hint="default"/>
      </w:rPr>
    </w:lvl>
    <w:lvl w:ilvl="3" w:tplc="66D0959A" w:tentative="1">
      <w:start w:val="1"/>
      <w:numFmt w:val="bullet"/>
      <w:lvlText w:val=""/>
      <w:lvlJc w:val="left"/>
      <w:pPr>
        <w:ind w:left="2880" w:hanging="360"/>
      </w:pPr>
      <w:rPr>
        <w:rFonts w:ascii="Symbol" w:hAnsi="Symbol" w:hint="default"/>
      </w:rPr>
    </w:lvl>
    <w:lvl w:ilvl="4" w:tplc="E410F2E0" w:tentative="1">
      <w:start w:val="1"/>
      <w:numFmt w:val="bullet"/>
      <w:lvlText w:val="o"/>
      <w:lvlJc w:val="left"/>
      <w:pPr>
        <w:ind w:left="3600" w:hanging="360"/>
      </w:pPr>
      <w:rPr>
        <w:rFonts w:ascii="Courier New" w:hAnsi="Courier New" w:cs="Courier New" w:hint="default"/>
      </w:rPr>
    </w:lvl>
    <w:lvl w:ilvl="5" w:tplc="41442BA0" w:tentative="1">
      <w:start w:val="1"/>
      <w:numFmt w:val="bullet"/>
      <w:lvlText w:val=""/>
      <w:lvlJc w:val="left"/>
      <w:pPr>
        <w:ind w:left="4320" w:hanging="360"/>
      </w:pPr>
      <w:rPr>
        <w:rFonts w:ascii="Wingdings" w:hAnsi="Wingdings" w:hint="default"/>
      </w:rPr>
    </w:lvl>
    <w:lvl w:ilvl="6" w:tplc="E4345AB0" w:tentative="1">
      <w:start w:val="1"/>
      <w:numFmt w:val="bullet"/>
      <w:lvlText w:val=""/>
      <w:lvlJc w:val="left"/>
      <w:pPr>
        <w:ind w:left="5040" w:hanging="360"/>
      </w:pPr>
      <w:rPr>
        <w:rFonts w:ascii="Symbol" w:hAnsi="Symbol" w:hint="default"/>
      </w:rPr>
    </w:lvl>
    <w:lvl w:ilvl="7" w:tplc="8F9A7A10" w:tentative="1">
      <w:start w:val="1"/>
      <w:numFmt w:val="bullet"/>
      <w:lvlText w:val="o"/>
      <w:lvlJc w:val="left"/>
      <w:pPr>
        <w:ind w:left="5760" w:hanging="360"/>
      </w:pPr>
      <w:rPr>
        <w:rFonts w:ascii="Courier New" w:hAnsi="Courier New" w:cs="Courier New" w:hint="default"/>
      </w:rPr>
    </w:lvl>
    <w:lvl w:ilvl="8" w:tplc="5740BC56" w:tentative="1">
      <w:start w:val="1"/>
      <w:numFmt w:val="bullet"/>
      <w:lvlText w:val=""/>
      <w:lvlJc w:val="left"/>
      <w:pPr>
        <w:ind w:left="6480" w:hanging="360"/>
      </w:pPr>
      <w:rPr>
        <w:rFonts w:ascii="Wingdings" w:hAnsi="Wingdings" w:hint="default"/>
      </w:rPr>
    </w:lvl>
  </w:abstractNum>
  <w:abstractNum w:abstractNumId="8" w15:restartNumberingAfterBreak="0">
    <w:nsid w:val="60711249"/>
    <w:multiLevelType w:val="multilevel"/>
    <w:tmpl w:val="6978B844"/>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748E2F9B"/>
    <w:multiLevelType w:val="hybridMultilevel"/>
    <w:tmpl w:val="35DED682"/>
    <w:lvl w:ilvl="0" w:tplc="D7020944">
      <w:start w:val="1"/>
      <w:numFmt w:val="bullet"/>
      <w:lvlText w:val=""/>
      <w:lvlJc w:val="left"/>
      <w:pPr>
        <w:ind w:left="720" w:hanging="360"/>
      </w:pPr>
      <w:rPr>
        <w:rFonts w:ascii="Symbol" w:hAnsi="Symbol" w:hint="default"/>
      </w:rPr>
    </w:lvl>
    <w:lvl w:ilvl="1" w:tplc="F22039D8" w:tentative="1">
      <w:start w:val="1"/>
      <w:numFmt w:val="bullet"/>
      <w:lvlText w:val="o"/>
      <w:lvlJc w:val="left"/>
      <w:pPr>
        <w:ind w:left="1440" w:hanging="360"/>
      </w:pPr>
      <w:rPr>
        <w:rFonts w:ascii="Courier New" w:hAnsi="Courier New" w:cs="Courier New" w:hint="default"/>
      </w:rPr>
    </w:lvl>
    <w:lvl w:ilvl="2" w:tplc="A3741B22" w:tentative="1">
      <w:start w:val="1"/>
      <w:numFmt w:val="bullet"/>
      <w:lvlText w:val=""/>
      <w:lvlJc w:val="left"/>
      <w:pPr>
        <w:ind w:left="2160" w:hanging="360"/>
      </w:pPr>
      <w:rPr>
        <w:rFonts w:ascii="Wingdings" w:hAnsi="Wingdings" w:hint="default"/>
      </w:rPr>
    </w:lvl>
    <w:lvl w:ilvl="3" w:tplc="5D1696E0" w:tentative="1">
      <w:start w:val="1"/>
      <w:numFmt w:val="bullet"/>
      <w:lvlText w:val=""/>
      <w:lvlJc w:val="left"/>
      <w:pPr>
        <w:ind w:left="2880" w:hanging="360"/>
      </w:pPr>
      <w:rPr>
        <w:rFonts w:ascii="Symbol" w:hAnsi="Symbol" w:hint="default"/>
      </w:rPr>
    </w:lvl>
    <w:lvl w:ilvl="4" w:tplc="8C88ABE0" w:tentative="1">
      <w:start w:val="1"/>
      <w:numFmt w:val="bullet"/>
      <w:lvlText w:val="o"/>
      <w:lvlJc w:val="left"/>
      <w:pPr>
        <w:ind w:left="3600" w:hanging="360"/>
      </w:pPr>
      <w:rPr>
        <w:rFonts w:ascii="Courier New" w:hAnsi="Courier New" w:cs="Courier New" w:hint="default"/>
      </w:rPr>
    </w:lvl>
    <w:lvl w:ilvl="5" w:tplc="5336AD26" w:tentative="1">
      <w:start w:val="1"/>
      <w:numFmt w:val="bullet"/>
      <w:lvlText w:val=""/>
      <w:lvlJc w:val="left"/>
      <w:pPr>
        <w:ind w:left="4320" w:hanging="360"/>
      </w:pPr>
      <w:rPr>
        <w:rFonts w:ascii="Wingdings" w:hAnsi="Wingdings" w:hint="default"/>
      </w:rPr>
    </w:lvl>
    <w:lvl w:ilvl="6" w:tplc="F5E05CB2" w:tentative="1">
      <w:start w:val="1"/>
      <w:numFmt w:val="bullet"/>
      <w:lvlText w:val=""/>
      <w:lvlJc w:val="left"/>
      <w:pPr>
        <w:ind w:left="5040" w:hanging="360"/>
      </w:pPr>
      <w:rPr>
        <w:rFonts w:ascii="Symbol" w:hAnsi="Symbol" w:hint="default"/>
      </w:rPr>
    </w:lvl>
    <w:lvl w:ilvl="7" w:tplc="7772E5A6" w:tentative="1">
      <w:start w:val="1"/>
      <w:numFmt w:val="bullet"/>
      <w:lvlText w:val="o"/>
      <w:lvlJc w:val="left"/>
      <w:pPr>
        <w:ind w:left="5760" w:hanging="360"/>
      </w:pPr>
      <w:rPr>
        <w:rFonts w:ascii="Courier New" w:hAnsi="Courier New" w:cs="Courier New" w:hint="default"/>
      </w:rPr>
    </w:lvl>
    <w:lvl w:ilvl="8" w:tplc="A4A0F99A" w:tentative="1">
      <w:start w:val="1"/>
      <w:numFmt w:val="bullet"/>
      <w:lvlText w:val=""/>
      <w:lvlJc w:val="left"/>
      <w:pPr>
        <w:ind w:left="6480" w:hanging="360"/>
      </w:pPr>
      <w:rPr>
        <w:rFonts w:ascii="Wingdings" w:hAnsi="Wingdings" w:hint="default"/>
      </w:rPr>
    </w:lvl>
  </w:abstractNum>
  <w:abstractNum w:abstractNumId="10" w15:restartNumberingAfterBreak="0">
    <w:nsid w:val="74B760CA"/>
    <w:multiLevelType w:val="hybridMultilevel"/>
    <w:tmpl w:val="F53E06CC"/>
    <w:lvl w:ilvl="0" w:tplc="545A79E8">
      <w:start w:val="2"/>
      <w:numFmt w:val="bullet"/>
      <w:lvlText w:val="-"/>
      <w:lvlJc w:val="left"/>
      <w:pPr>
        <w:ind w:left="720" w:hanging="360"/>
      </w:pPr>
      <w:rPr>
        <w:rFonts w:ascii="Calibri" w:eastAsiaTheme="minorHAnsi" w:hAnsi="Calibri" w:cstheme="minorBidi" w:hint="default"/>
      </w:rPr>
    </w:lvl>
    <w:lvl w:ilvl="1" w:tplc="19C6FF6C" w:tentative="1">
      <w:start w:val="1"/>
      <w:numFmt w:val="bullet"/>
      <w:lvlText w:val="o"/>
      <w:lvlJc w:val="left"/>
      <w:pPr>
        <w:ind w:left="1440" w:hanging="360"/>
      </w:pPr>
      <w:rPr>
        <w:rFonts w:ascii="Courier New" w:hAnsi="Courier New" w:cs="Courier New" w:hint="default"/>
      </w:rPr>
    </w:lvl>
    <w:lvl w:ilvl="2" w:tplc="7F205C16" w:tentative="1">
      <w:start w:val="1"/>
      <w:numFmt w:val="bullet"/>
      <w:lvlText w:val=""/>
      <w:lvlJc w:val="left"/>
      <w:pPr>
        <w:ind w:left="2160" w:hanging="360"/>
      </w:pPr>
      <w:rPr>
        <w:rFonts w:ascii="Wingdings" w:hAnsi="Wingdings" w:hint="default"/>
      </w:rPr>
    </w:lvl>
    <w:lvl w:ilvl="3" w:tplc="266C7BAA" w:tentative="1">
      <w:start w:val="1"/>
      <w:numFmt w:val="bullet"/>
      <w:lvlText w:val=""/>
      <w:lvlJc w:val="left"/>
      <w:pPr>
        <w:ind w:left="2880" w:hanging="360"/>
      </w:pPr>
      <w:rPr>
        <w:rFonts w:ascii="Symbol" w:hAnsi="Symbol" w:hint="default"/>
      </w:rPr>
    </w:lvl>
    <w:lvl w:ilvl="4" w:tplc="B9BA9B88" w:tentative="1">
      <w:start w:val="1"/>
      <w:numFmt w:val="bullet"/>
      <w:lvlText w:val="o"/>
      <w:lvlJc w:val="left"/>
      <w:pPr>
        <w:ind w:left="3600" w:hanging="360"/>
      </w:pPr>
      <w:rPr>
        <w:rFonts w:ascii="Courier New" w:hAnsi="Courier New" w:cs="Courier New" w:hint="default"/>
      </w:rPr>
    </w:lvl>
    <w:lvl w:ilvl="5" w:tplc="3C38BD60" w:tentative="1">
      <w:start w:val="1"/>
      <w:numFmt w:val="bullet"/>
      <w:lvlText w:val=""/>
      <w:lvlJc w:val="left"/>
      <w:pPr>
        <w:ind w:left="4320" w:hanging="360"/>
      </w:pPr>
      <w:rPr>
        <w:rFonts w:ascii="Wingdings" w:hAnsi="Wingdings" w:hint="default"/>
      </w:rPr>
    </w:lvl>
    <w:lvl w:ilvl="6" w:tplc="8612F13E" w:tentative="1">
      <w:start w:val="1"/>
      <w:numFmt w:val="bullet"/>
      <w:lvlText w:val=""/>
      <w:lvlJc w:val="left"/>
      <w:pPr>
        <w:ind w:left="5040" w:hanging="360"/>
      </w:pPr>
      <w:rPr>
        <w:rFonts w:ascii="Symbol" w:hAnsi="Symbol" w:hint="default"/>
      </w:rPr>
    </w:lvl>
    <w:lvl w:ilvl="7" w:tplc="8E14335A" w:tentative="1">
      <w:start w:val="1"/>
      <w:numFmt w:val="bullet"/>
      <w:lvlText w:val="o"/>
      <w:lvlJc w:val="left"/>
      <w:pPr>
        <w:ind w:left="5760" w:hanging="360"/>
      </w:pPr>
      <w:rPr>
        <w:rFonts w:ascii="Courier New" w:hAnsi="Courier New" w:cs="Courier New" w:hint="default"/>
      </w:rPr>
    </w:lvl>
    <w:lvl w:ilvl="8" w:tplc="8CF89BA4" w:tentative="1">
      <w:start w:val="1"/>
      <w:numFmt w:val="bullet"/>
      <w:lvlText w:val=""/>
      <w:lvlJc w:val="left"/>
      <w:pPr>
        <w:ind w:left="6480" w:hanging="360"/>
      </w:pPr>
      <w:rPr>
        <w:rFonts w:ascii="Wingdings" w:hAnsi="Wingdings" w:hint="default"/>
      </w:rPr>
    </w:lvl>
  </w:abstractNum>
  <w:abstractNum w:abstractNumId="11" w15:restartNumberingAfterBreak="0">
    <w:nsid w:val="76321C20"/>
    <w:multiLevelType w:val="hybridMultilevel"/>
    <w:tmpl w:val="69185660"/>
    <w:lvl w:ilvl="0" w:tplc="D3DE8C68">
      <w:start w:val="1"/>
      <w:numFmt w:val="bullet"/>
      <w:lvlText w:val=""/>
      <w:lvlJc w:val="left"/>
      <w:pPr>
        <w:ind w:left="720" w:hanging="360"/>
      </w:pPr>
      <w:rPr>
        <w:rFonts w:ascii="Symbol" w:hAnsi="Symbol" w:hint="default"/>
      </w:rPr>
    </w:lvl>
    <w:lvl w:ilvl="1" w:tplc="E1EA8BD6" w:tentative="1">
      <w:start w:val="1"/>
      <w:numFmt w:val="bullet"/>
      <w:lvlText w:val="o"/>
      <w:lvlJc w:val="left"/>
      <w:pPr>
        <w:ind w:left="1440" w:hanging="360"/>
      </w:pPr>
      <w:rPr>
        <w:rFonts w:ascii="Courier New" w:hAnsi="Courier New" w:cs="Courier New" w:hint="default"/>
      </w:rPr>
    </w:lvl>
    <w:lvl w:ilvl="2" w:tplc="261416DE" w:tentative="1">
      <w:start w:val="1"/>
      <w:numFmt w:val="bullet"/>
      <w:lvlText w:val=""/>
      <w:lvlJc w:val="left"/>
      <w:pPr>
        <w:ind w:left="2160" w:hanging="360"/>
      </w:pPr>
      <w:rPr>
        <w:rFonts w:ascii="Wingdings" w:hAnsi="Wingdings" w:hint="default"/>
      </w:rPr>
    </w:lvl>
    <w:lvl w:ilvl="3" w:tplc="8F18F3BE" w:tentative="1">
      <w:start w:val="1"/>
      <w:numFmt w:val="bullet"/>
      <w:lvlText w:val=""/>
      <w:lvlJc w:val="left"/>
      <w:pPr>
        <w:ind w:left="2880" w:hanging="360"/>
      </w:pPr>
      <w:rPr>
        <w:rFonts w:ascii="Symbol" w:hAnsi="Symbol" w:hint="default"/>
      </w:rPr>
    </w:lvl>
    <w:lvl w:ilvl="4" w:tplc="875C395E" w:tentative="1">
      <w:start w:val="1"/>
      <w:numFmt w:val="bullet"/>
      <w:lvlText w:val="o"/>
      <w:lvlJc w:val="left"/>
      <w:pPr>
        <w:ind w:left="3600" w:hanging="360"/>
      </w:pPr>
      <w:rPr>
        <w:rFonts w:ascii="Courier New" w:hAnsi="Courier New" w:cs="Courier New" w:hint="default"/>
      </w:rPr>
    </w:lvl>
    <w:lvl w:ilvl="5" w:tplc="3F1CA3C0" w:tentative="1">
      <w:start w:val="1"/>
      <w:numFmt w:val="bullet"/>
      <w:lvlText w:val=""/>
      <w:lvlJc w:val="left"/>
      <w:pPr>
        <w:ind w:left="4320" w:hanging="360"/>
      </w:pPr>
      <w:rPr>
        <w:rFonts w:ascii="Wingdings" w:hAnsi="Wingdings" w:hint="default"/>
      </w:rPr>
    </w:lvl>
    <w:lvl w:ilvl="6" w:tplc="717E75F0" w:tentative="1">
      <w:start w:val="1"/>
      <w:numFmt w:val="bullet"/>
      <w:lvlText w:val=""/>
      <w:lvlJc w:val="left"/>
      <w:pPr>
        <w:ind w:left="5040" w:hanging="360"/>
      </w:pPr>
      <w:rPr>
        <w:rFonts w:ascii="Symbol" w:hAnsi="Symbol" w:hint="default"/>
      </w:rPr>
    </w:lvl>
    <w:lvl w:ilvl="7" w:tplc="05469612" w:tentative="1">
      <w:start w:val="1"/>
      <w:numFmt w:val="bullet"/>
      <w:lvlText w:val="o"/>
      <w:lvlJc w:val="left"/>
      <w:pPr>
        <w:ind w:left="5760" w:hanging="360"/>
      </w:pPr>
      <w:rPr>
        <w:rFonts w:ascii="Courier New" w:hAnsi="Courier New" w:cs="Courier New" w:hint="default"/>
      </w:rPr>
    </w:lvl>
    <w:lvl w:ilvl="8" w:tplc="BBE6EFEA"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
  </w:num>
  <w:num w:numId="5">
    <w:abstractNumId w:val="10"/>
  </w:num>
  <w:num w:numId="6">
    <w:abstractNumId w:val="5"/>
  </w:num>
  <w:num w:numId="7">
    <w:abstractNumId w:val="2"/>
  </w:num>
  <w:num w:numId="8">
    <w:abstractNumId w:val="11"/>
  </w:num>
  <w:num w:numId="9">
    <w:abstractNumId w:val="7"/>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A8"/>
    <w:rsid w:val="0012770A"/>
    <w:rsid w:val="003E7C2A"/>
    <w:rsid w:val="004F4921"/>
    <w:rsid w:val="00881D79"/>
    <w:rsid w:val="009E2CA8"/>
    <w:rsid w:val="00A44354"/>
    <w:rsid w:val="00B50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AEC5A6-7828-4D17-96A2-B939CD58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39"/>
    <w:rsid w:val="00B4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4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45F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5F7C"/>
    <w:rPr>
      <w:sz w:val="20"/>
      <w:szCs w:val="20"/>
    </w:rPr>
  </w:style>
  <w:style w:type="paragraph" w:styleId="BalloonText">
    <w:name w:val="Balloon Text"/>
    <w:basedOn w:val="Normal"/>
    <w:link w:val="BalloonTextChar"/>
    <w:uiPriority w:val="99"/>
    <w:semiHidden/>
    <w:unhideWhenUsed/>
    <w:rsid w:val="00881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D79"/>
    <w:rPr>
      <w:rFonts w:ascii="Segoe UI" w:hAnsi="Segoe UI" w:cs="Segoe UI"/>
      <w:sz w:val="18"/>
      <w:szCs w:val="18"/>
    </w:rPr>
  </w:style>
  <w:style w:type="paragraph" w:styleId="FootnoteText">
    <w:name w:val="footnote text"/>
    <w:basedOn w:val="Normal"/>
    <w:link w:val="FootnoteTextChar"/>
    <w:uiPriority w:val="99"/>
    <w:semiHidden/>
    <w:unhideWhenUsed/>
    <w:rsid w:val="00127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70A"/>
    <w:rPr>
      <w:sz w:val="20"/>
      <w:szCs w:val="20"/>
    </w:rPr>
  </w:style>
  <w:style w:type="character" w:styleId="FootnoteReference">
    <w:name w:val="footnote reference"/>
    <w:basedOn w:val="DefaultParagraphFont"/>
    <w:uiPriority w:val="99"/>
    <w:semiHidden/>
    <w:unhideWhenUsed/>
    <w:rsid w:val="0012770A"/>
    <w:rPr>
      <w:vertAlign w:val="superscript"/>
    </w:rPr>
  </w:style>
  <w:style w:type="character" w:styleId="EndnoteReference">
    <w:name w:val="endnote reference"/>
    <w:basedOn w:val="DefaultParagraphFont"/>
    <w:uiPriority w:val="99"/>
    <w:semiHidden/>
    <w:unhideWhenUsed/>
    <w:rsid w:val="00127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FCD10-4BA0-4EE0-B47C-7F38052C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14</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15</cp:revision>
  <cp:lastPrinted>2015-01-28T14:27:00Z</cp:lastPrinted>
  <dcterms:created xsi:type="dcterms:W3CDTF">2015-03-30T10:11:00Z</dcterms:created>
  <dcterms:modified xsi:type="dcterms:W3CDTF">2018-08-06T10:10:00Z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CAGPMS">
    <vt:lpwstr>OFFICIAL</vt:lpwstr>
  </property>
  <property fmtid="{D5CDD505-2E9C-101B-9397-08002B2CF9AE}" pid="3" name="IssueTitle">
    <vt:lpwstr>2017/18 End of Year Monitring Report</vt:lpwstr>
  </property>
  <property fmtid="{D5CDD505-2E9C-101B-9397-08002B2CF9AE}" pid="4" name="LeadOfficer">
    <vt:lpwstr>Sarah Parry</vt:lpwstr>
  </property>
  <property fmtid="{D5CDD505-2E9C-101B-9397-08002B2CF9AE}" pid="5" name="LeadOfficerEmail">
    <vt:lpwstr>sarah.parry@lancashire.gov.uk</vt:lpwstr>
  </property>
  <property fmtid="{D5CDD505-2E9C-101B-9397-08002B2CF9AE}" pid="6" name="LeadOfficerTel">
    <vt:lpwstr>Tel: 01772 530615</vt:lpwstr>
  </property>
  <property fmtid="{D5CDD505-2E9C-101B-9397-08002B2CF9AE}" pid="7" name="MeetingDate">
    <vt:lpwstr>Thursday, 16 August 2018</vt:lpwstr>
  </property>
  <property fmtid="{D5CDD505-2E9C-101B-9397-08002B2CF9AE}" pid="8" name="TitusGUID">
    <vt:lpwstr>b16076df-281e-485b-ac3b-6fbc29115d7d</vt:lpwstr>
  </property>
</Properties>
</file>